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2474" w14:textId="77777777" w:rsidR="001A187F" w:rsidRPr="00E22DDB" w:rsidRDefault="001A187F" w:rsidP="001A187F">
      <w:pPr>
        <w:widowControl w:val="0"/>
        <w:autoSpaceDE w:val="0"/>
        <w:autoSpaceDN w:val="0"/>
        <w:adjustRightInd w:val="0"/>
        <w:spacing w:after="0" w:line="240" w:lineRule="auto"/>
        <w:ind w:left="5387"/>
        <w:rPr>
          <w:rFonts w:ascii="Times New Roman" w:eastAsia="Times New Roman" w:hAnsi="Times New Roman" w:cs="Times New Roman"/>
          <w:b/>
          <w:sz w:val="24"/>
          <w:szCs w:val="24"/>
          <w:lang w:eastAsia="ru-RU"/>
        </w:rPr>
      </w:pPr>
      <w:r w:rsidRPr="00E22DDB">
        <w:rPr>
          <w:rFonts w:ascii="Times New Roman" w:eastAsia="Times New Roman" w:hAnsi="Times New Roman" w:cs="Times New Roman"/>
          <w:b/>
          <w:sz w:val="24"/>
          <w:szCs w:val="24"/>
          <w:lang w:eastAsia="ru-RU"/>
        </w:rPr>
        <w:t>УТВЕРЖДЕНА</w:t>
      </w:r>
    </w:p>
    <w:p w14:paraId="4E5A784A" w14:textId="77777777" w:rsidR="001A187F" w:rsidRPr="00E22DDB" w:rsidRDefault="001A187F" w:rsidP="001A187F">
      <w:pPr>
        <w:widowControl w:val="0"/>
        <w:autoSpaceDE w:val="0"/>
        <w:autoSpaceDN w:val="0"/>
        <w:adjustRightInd w:val="0"/>
        <w:spacing w:after="0" w:line="240" w:lineRule="auto"/>
        <w:ind w:left="5387"/>
        <w:rPr>
          <w:rFonts w:ascii="Times New Roman" w:eastAsia="Times New Roman" w:hAnsi="Times New Roman" w:cs="Times New Roman"/>
          <w:sz w:val="24"/>
          <w:szCs w:val="24"/>
          <w:lang w:eastAsia="ru-RU"/>
        </w:rPr>
      </w:pPr>
      <w:r w:rsidRPr="00E22DDB">
        <w:rPr>
          <w:rFonts w:ascii="Times New Roman" w:eastAsia="Times New Roman" w:hAnsi="Times New Roman" w:cs="Times New Roman"/>
          <w:sz w:val="24"/>
          <w:szCs w:val="24"/>
          <w:lang w:eastAsia="ru-RU"/>
        </w:rPr>
        <w:t xml:space="preserve">Приказом Председателя </w:t>
      </w:r>
    </w:p>
    <w:p w14:paraId="7FC59C59" w14:textId="77777777" w:rsidR="001A187F" w:rsidRPr="00E22DDB" w:rsidRDefault="001A187F" w:rsidP="001A187F">
      <w:pPr>
        <w:widowControl w:val="0"/>
        <w:autoSpaceDE w:val="0"/>
        <w:autoSpaceDN w:val="0"/>
        <w:adjustRightInd w:val="0"/>
        <w:spacing w:after="0" w:line="240" w:lineRule="auto"/>
        <w:ind w:left="5387"/>
        <w:rPr>
          <w:rFonts w:ascii="Times New Roman" w:eastAsia="Times New Roman" w:hAnsi="Times New Roman" w:cs="Times New Roman"/>
          <w:sz w:val="24"/>
          <w:szCs w:val="24"/>
          <w:lang w:eastAsia="ru-RU"/>
        </w:rPr>
      </w:pPr>
      <w:r w:rsidRPr="00E22DDB">
        <w:rPr>
          <w:rFonts w:ascii="Times New Roman" w:eastAsia="Times New Roman" w:hAnsi="Times New Roman" w:cs="Times New Roman"/>
          <w:sz w:val="24"/>
          <w:szCs w:val="24"/>
          <w:lang w:eastAsia="ru-RU"/>
        </w:rPr>
        <w:t xml:space="preserve">РГУ «Комитет медицинского и </w:t>
      </w:r>
    </w:p>
    <w:p w14:paraId="5B0C10FF" w14:textId="77777777" w:rsidR="001A187F" w:rsidRPr="00E22DDB" w:rsidRDefault="001A187F" w:rsidP="001A187F">
      <w:pPr>
        <w:widowControl w:val="0"/>
        <w:autoSpaceDE w:val="0"/>
        <w:autoSpaceDN w:val="0"/>
        <w:adjustRightInd w:val="0"/>
        <w:spacing w:after="0" w:line="240" w:lineRule="auto"/>
        <w:ind w:left="5387"/>
        <w:rPr>
          <w:rFonts w:ascii="Times New Roman" w:eastAsia="Times New Roman" w:hAnsi="Times New Roman" w:cs="Times New Roman"/>
          <w:sz w:val="24"/>
          <w:szCs w:val="24"/>
          <w:lang w:eastAsia="ru-RU"/>
        </w:rPr>
      </w:pPr>
      <w:r w:rsidRPr="00E22DDB">
        <w:rPr>
          <w:rFonts w:ascii="Times New Roman" w:eastAsia="Times New Roman" w:hAnsi="Times New Roman" w:cs="Times New Roman"/>
          <w:sz w:val="24"/>
          <w:szCs w:val="24"/>
          <w:lang w:eastAsia="ru-RU"/>
        </w:rPr>
        <w:t>фармацевтического контроля</w:t>
      </w:r>
    </w:p>
    <w:p w14:paraId="78F4DA7A" w14:textId="77777777" w:rsidR="001A187F" w:rsidRPr="00E22DDB" w:rsidRDefault="001A187F" w:rsidP="001A187F">
      <w:pPr>
        <w:widowControl w:val="0"/>
        <w:autoSpaceDE w:val="0"/>
        <w:autoSpaceDN w:val="0"/>
        <w:adjustRightInd w:val="0"/>
        <w:spacing w:after="0" w:line="240" w:lineRule="auto"/>
        <w:ind w:left="5387"/>
        <w:rPr>
          <w:rFonts w:ascii="Times New Roman" w:eastAsia="Times New Roman" w:hAnsi="Times New Roman" w:cs="Times New Roman"/>
          <w:bCs/>
          <w:sz w:val="24"/>
          <w:szCs w:val="24"/>
          <w:lang w:val="uk-UA" w:eastAsia="ru-RU"/>
        </w:rPr>
      </w:pPr>
      <w:r w:rsidRPr="00E22DDB">
        <w:rPr>
          <w:rFonts w:ascii="Times New Roman" w:eastAsia="Times New Roman" w:hAnsi="Times New Roman" w:cs="Times New Roman"/>
          <w:bCs/>
          <w:sz w:val="24"/>
          <w:szCs w:val="24"/>
          <w:lang w:eastAsia="ru-RU"/>
        </w:rPr>
        <w:t>Министерства здравоохранения</w:t>
      </w:r>
      <w:r w:rsidRPr="00E22DDB">
        <w:rPr>
          <w:rFonts w:ascii="Times New Roman" w:eastAsia="Times New Roman" w:hAnsi="Times New Roman" w:cs="Times New Roman"/>
          <w:bCs/>
          <w:sz w:val="24"/>
          <w:szCs w:val="24"/>
          <w:lang w:val="uk-UA" w:eastAsia="ru-RU"/>
        </w:rPr>
        <w:t xml:space="preserve"> </w:t>
      </w:r>
    </w:p>
    <w:p w14:paraId="646E8456" w14:textId="77777777" w:rsidR="001A187F" w:rsidRPr="00E22DDB" w:rsidRDefault="001A187F" w:rsidP="001A187F">
      <w:pPr>
        <w:widowControl w:val="0"/>
        <w:autoSpaceDE w:val="0"/>
        <w:autoSpaceDN w:val="0"/>
        <w:adjustRightInd w:val="0"/>
        <w:spacing w:after="0" w:line="240" w:lineRule="auto"/>
        <w:ind w:left="5387"/>
        <w:rPr>
          <w:rFonts w:ascii="Times New Roman" w:eastAsia="Times New Roman" w:hAnsi="Times New Roman" w:cs="Times New Roman"/>
          <w:bCs/>
          <w:sz w:val="24"/>
          <w:szCs w:val="24"/>
          <w:lang w:eastAsia="ru-RU"/>
        </w:rPr>
      </w:pPr>
      <w:r w:rsidRPr="00E22DDB">
        <w:rPr>
          <w:rFonts w:ascii="Times New Roman" w:eastAsia="Times New Roman" w:hAnsi="Times New Roman" w:cs="Times New Roman"/>
          <w:bCs/>
          <w:sz w:val="24"/>
          <w:szCs w:val="24"/>
          <w:lang w:eastAsia="ru-RU"/>
        </w:rPr>
        <w:t>Республики Казахстан»</w:t>
      </w:r>
    </w:p>
    <w:p w14:paraId="7ED7C78E" w14:textId="3C66782F" w:rsidR="001A187F" w:rsidRPr="00E22DDB" w:rsidRDefault="001A187F" w:rsidP="001A187F">
      <w:pPr>
        <w:widowControl w:val="0"/>
        <w:autoSpaceDE w:val="0"/>
        <w:autoSpaceDN w:val="0"/>
        <w:adjustRightInd w:val="0"/>
        <w:spacing w:after="0" w:line="240" w:lineRule="auto"/>
        <w:ind w:left="5387"/>
        <w:rPr>
          <w:rFonts w:ascii="Times New Roman" w:eastAsia="Times New Roman" w:hAnsi="Times New Roman" w:cs="Times New Roman"/>
          <w:sz w:val="24"/>
          <w:szCs w:val="24"/>
          <w:lang w:eastAsia="ru-RU"/>
        </w:rPr>
      </w:pPr>
      <w:r w:rsidRPr="00E22DDB">
        <w:rPr>
          <w:rFonts w:ascii="Times New Roman" w:eastAsia="Times New Roman" w:hAnsi="Times New Roman" w:cs="Times New Roman"/>
          <w:sz w:val="24"/>
          <w:szCs w:val="24"/>
          <w:lang w:eastAsia="ru-RU"/>
        </w:rPr>
        <w:t>от «</w:t>
      </w:r>
      <w:r w:rsidR="00DE7360">
        <w:rPr>
          <w:rFonts w:ascii="Times New Roman" w:eastAsia="Times New Roman" w:hAnsi="Times New Roman" w:cs="Times New Roman"/>
          <w:sz w:val="24"/>
          <w:szCs w:val="24"/>
          <w:lang w:eastAsia="ru-RU"/>
        </w:rPr>
        <w:t>27</w:t>
      </w:r>
      <w:r w:rsidRPr="00E22DDB">
        <w:rPr>
          <w:rFonts w:ascii="Times New Roman" w:eastAsia="Times New Roman" w:hAnsi="Times New Roman" w:cs="Times New Roman"/>
          <w:sz w:val="24"/>
          <w:szCs w:val="24"/>
          <w:lang w:eastAsia="ru-RU"/>
        </w:rPr>
        <w:t>»</w:t>
      </w:r>
      <w:r w:rsidR="00DE7360">
        <w:rPr>
          <w:rFonts w:ascii="Times New Roman" w:eastAsia="Times New Roman" w:hAnsi="Times New Roman" w:cs="Times New Roman"/>
          <w:sz w:val="24"/>
          <w:szCs w:val="24"/>
          <w:lang w:eastAsia="ru-RU"/>
        </w:rPr>
        <w:t xml:space="preserve">  02    </w:t>
      </w:r>
      <w:r w:rsidRPr="00E22DDB">
        <w:rPr>
          <w:rFonts w:ascii="Times New Roman" w:eastAsia="Times New Roman" w:hAnsi="Times New Roman" w:cs="Times New Roman"/>
          <w:sz w:val="24"/>
          <w:szCs w:val="24"/>
          <w:lang w:eastAsia="ru-RU"/>
        </w:rPr>
        <w:t>20</w:t>
      </w:r>
      <w:r w:rsidR="00DE7360">
        <w:rPr>
          <w:rFonts w:ascii="Times New Roman" w:eastAsia="Times New Roman" w:hAnsi="Times New Roman" w:cs="Times New Roman"/>
          <w:sz w:val="24"/>
          <w:szCs w:val="24"/>
          <w:lang w:eastAsia="ru-RU"/>
        </w:rPr>
        <w:t xml:space="preserve">25 </w:t>
      </w:r>
      <w:r w:rsidRPr="00E22DDB">
        <w:rPr>
          <w:rFonts w:ascii="Times New Roman" w:eastAsia="Times New Roman" w:hAnsi="Times New Roman" w:cs="Times New Roman"/>
          <w:sz w:val="24"/>
          <w:szCs w:val="24"/>
          <w:lang w:eastAsia="ru-RU"/>
        </w:rPr>
        <w:t>г.</w:t>
      </w:r>
    </w:p>
    <w:p w14:paraId="370F9D81" w14:textId="66DC1DDA" w:rsidR="001A187F" w:rsidRPr="00DE7360" w:rsidRDefault="001A187F" w:rsidP="001A187F">
      <w:pPr>
        <w:widowControl w:val="0"/>
        <w:autoSpaceDE w:val="0"/>
        <w:autoSpaceDN w:val="0"/>
        <w:adjustRightInd w:val="0"/>
        <w:spacing w:after="0" w:line="240" w:lineRule="auto"/>
        <w:ind w:left="5387"/>
        <w:rPr>
          <w:rFonts w:ascii="Times New Roman" w:eastAsia="Times New Roman" w:hAnsi="Times New Roman" w:cs="Times New Roman"/>
          <w:sz w:val="24"/>
          <w:szCs w:val="24"/>
          <w:lang w:val="en-US" w:eastAsia="ru-RU"/>
        </w:rPr>
      </w:pPr>
      <w:r w:rsidRPr="00E22DDB">
        <w:rPr>
          <w:rFonts w:ascii="Times New Roman" w:eastAsia="Times New Roman" w:hAnsi="Times New Roman" w:cs="Times New Roman"/>
          <w:sz w:val="24"/>
          <w:szCs w:val="24"/>
          <w:lang w:eastAsia="ru-RU"/>
        </w:rPr>
        <w:t>№</w:t>
      </w:r>
      <w:r w:rsidR="00DE7360">
        <w:rPr>
          <w:rFonts w:ascii="Times New Roman" w:eastAsia="Times New Roman" w:hAnsi="Times New Roman" w:cs="Times New Roman"/>
          <w:sz w:val="24"/>
          <w:szCs w:val="24"/>
          <w:lang w:val="en-US" w:eastAsia="ru-RU"/>
        </w:rPr>
        <w:t>N084060</w:t>
      </w:r>
    </w:p>
    <w:p w14:paraId="34EBE08F" w14:textId="77777777" w:rsidR="001A187F" w:rsidRPr="00E22DDB" w:rsidRDefault="001A187F" w:rsidP="001A187F">
      <w:pPr>
        <w:widowControl w:val="0"/>
        <w:autoSpaceDE w:val="0"/>
        <w:autoSpaceDN w:val="0"/>
        <w:adjustRightInd w:val="0"/>
        <w:spacing w:after="0" w:line="240" w:lineRule="auto"/>
        <w:ind w:left="5387"/>
        <w:rPr>
          <w:rFonts w:ascii="Times New Roman" w:eastAsia="Times New Roman" w:hAnsi="Times New Roman" w:cs="Times New Roman"/>
          <w:sz w:val="24"/>
          <w:szCs w:val="24"/>
          <w:lang w:eastAsia="ru-RU"/>
        </w:rPr>
      </w:pPr>
    </w:p>
    <w:p w14:paraId="2F6AB35E" w14:textId="77777777" w:rsidR="00D90203" w:rsidRPr="00E22DDB" w:rsidRDefault="00D90203" w:rsidP="00D90203">
      <w:pPr>
        <w:widowControl w:val="0"/>
        <w:autoSpaceDE w:val="0"/>
        <w:autoSpaceDN w:val="0"/>
        <w:adjustRightInd w:val="0"/>
        <w:spacing w:after="0" w:line="240" w:lineRule="auto"/>
        <w:jc w:val="center"/>
        <w:rPr>
          <w:rFonts w:ascii="Times New Roman" w:eastAsia="Batang" w:hAnsi="Times New Roman" w:cs="Times New Roman"/>
          <w:b/>
          <w:caps/>
          <w:sz w:val="24"/>
          <w:szCs w:val="24"/>
          <w:lang w:eastAsia="ru-RU"/>
        </w:rPr>
      </w:pPr>
      <w:r w:rsidRPr="00E22DDB">
        <w:rPr>
          <w:rFonts w:ascii="Times New Roman" w:eastAsia="Batang" w:hAnsi="Times New Roman" w:cs="Times New Roman"/>
          <w:b/>
          <w:caps/>
          <w:sz w:val="24"/>
          <w:szCs w:val="24"/>
          <w:lang w:eastAsia="ru-RU"/>
        </w:rPr>
        <w:t>ОБЩАЯ характеристика лекарственного препарата</w:t>
      </w:r>
    </w:p>
    <w:p w14:paraId="2B6FE24F" w14:textId="77777777" w:rsidR="00D90203" w:rsidRPr="00E22DDB" w:rsidRDefault="00D90203" w:rsidP="00701A32">
      <w:pPr>
        <w:spacing w:after="0" w:line="240" w:lineRule="auto"/>
        <w:jc w:val="center"/>
        <w:rPr>
          <w:rFonts w:ascii="Times New Roman" w:eastAsia="Times New Roman" w:hAnsi="Times New Roman" w:cs="Times New Roman"/>
          <w:b/>
          <w:bCs/>
          <w:sz w:val="24"/>
          <w:szCs w:val="24"/>
          <w:lang w:eastAsia="ru-RU"/>
        </w:rPr>
      </w:pPr>
    </w:p>
    <w:p w14:paraId="7E49BD46" w14:textId="77777777" w:rsidR="0096566B" w:rsidRPr="00E22DDB" w:rsidRDefault="0096566B"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b/>
          <w:sz w:val="24"/>
          <w:szCs w:val="24"/>
        </w:rPr>
        <w:t>1. НАИМЕНОВАНИЕ ЛЕКАРСТВЕННОГО ПРЕПАРАТА</w:t>
      </w:r>
      <w:r w:rsidRPr="00E22DDB">
        <w:rPr>
          <w:rFonts w:ascii="Times New Roman" w:hAnsi="Times New Roman" w:cs="Times New Roman"/>
          <w:sz w:val="24"/>
          <w:szCs w:val="24"/>
        </w:rPr>
        <w:t xml:space="preserve"> </w:t>
      </w:r>
    </w:p>
    <w:p w14:paraId="6DEF18B1" w14:textId="2393EE31" w:rsidR="009C166C" w:rsidRPr="00E22DDB" w:rsidRDefault="00C20FD0"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Бидирон</w:t>
      </w:r>
      <w:r w:rsidR="009C166C" w:rsidRPr="00E22DDB">
        <w:rPr>
          <w:rFonts w:ascii="Times New Roman" w:hAnsi="Times New Roman" w:cs="Times New Roman"/>
          <w:sz w:val="24"/>
          <w:szCs w:val="24"/>
        </w:rPr>
        <w:t xml:space="preserve">, </w:t>
      </w:r>
      <w:r w:rsidR="009A038E" w:rsidRPr="00E22DDB">
        <w:rPr>
          <w:rFonts w:ascii="Times New Roman" w:hAnsi="Times New Roman" w:cs="Times New Roman"/>
          <w:sz w:val="24"/>
          <w:szCs w:val="24"/>
        </w:rPr>
        <w:t>250</w:t>
      </w:r>
      <w:r w:rsidR="0096566B" w:rsidRPr="00E22DDB">
        <w:rPr>
          <w:rFonts w:ascii="Times New Roman" w:hAnsi="Times New Roman" w:cs="Times New Roman"/>
          <w:sz w:val="24"/>
          <w:szCs w:val="24"/>
        </w:rPr>
        <w:t xml:space="preserve"> мг, </w:t>
      </w:r>
      <w:r w:rsidR="00745D22" w:rsidRPr="00E22DDB">
        <w:rPr>
          <w:rFonts w:ascii="Times New Roman" w:hAnsi="Times New Roman" w:cs="Times New Roman"/>
          <w:sz w:val="24"/>
          <w:szCs w:val="24"/>
        </w:rPr>
        <w:t>таблетки</w:t>
      </w:r>
    </w:p>
    <w:p w14:paraId="08933EA8" w14:textId="77777777" w:rsidR="00D90203" w:rsidRPr="00E22DDB" w:rsidRDefault="00D90203" w:rsidP="00701A32">
      <w:pPr>
        <w:spacing w:after="0" w:line="240" w:lineRule="auto"/>
        <w:jc w:val="both"/>
        <w:rPr>
          <w:rFonts w:ascii="Times New Roman" w:hAnsi="Times New Roman" w:cs="Times New Roman"/>
          <w:sz w:val="24"/>
          <w:szCs w:val="24"/>
        </w:rPr>
      </w:pPr>
    </w:p>
    <w:p w14:paraId="13D76C5B" w14:textId="77777777" w:rsidR="009C166C" w:rsidRPr="00E22DDB" w:rsidRDefault="0096566B"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b/>
          <w:sz w:val="24"/>
          <w:szCs w:val="24"/>
        </w:rPr>
        <w:t>2. КАЧЕСТВЕННЫЙ И КОЛИЧЕСТВЕННЫЙ СОСТАВ</w:t>
      </w:r>
    </w:p>
    <w:p w14:paraId="4A6490D0" w14:textId="77777777" w:rsidR="005C5392" w:rsidRPr="00E22DDB" w:rsidRDefault="005C5392" w:rsidP="00701A32">
      <w:pPr>
        <w:spacing w:after="0" w:line="240" w:lineRule="auto"/>
        <w:jc w:val="both"/>
        <w:rPr>
          <w:rFonts w:ascii="Times New Roman" w:hAnsi="Times New Roman" w:cs="Times New Roman"/>
          <w:b/>
          <w:bCs/>
          <w:iCs/>
          <w:sz w:val="24"/>
          <w:szCs w:val="24"/>
        </w:rPr>
      </w:pPr>
      <w:r w:rsidRPr="00E22DDB">
        <w:rPr>
          <w:rFonts w:ascii="Times New Roman" w:hAnsi="Times New Roman" w:cs="Times New Roman"/>
          <w:b/>
          <w:bCs/>
          <w:iCs/>
          <w:sz w:val="24"/>
          <w:szCs w:val="24"/>
        </w:rPr>
        <w:t>2.1 Общее описание</w:t>
      </w:r>
    </w:p>
    <w:p w14:paraId="0F14466B" w14:textId="7D25888B" w:rsidR="009C166C" w:rsidRPr="00E22DDB" w:rsidRDefault="00E21018" w:rsidP="00701A32">
      <w:pPr>
        <w:spacing w:after="0" w:line="240" w:lineRule="auto"/>
        <w:jc w:val="both"/>
        <w:rPr>
          <w:rFonts w:ascii="Times New Roman" w:hAnsi="Times New Roman" w:cs="Times New Roman"/>
          <w:i/>
          <w:iCs/>
          <w:sz w:val="24"/>
          <w:szCs w:val="24"/>
        </w:rPr>
      </w:pPr>
      <w:r w:rsidRPr="00E22DDB">
        <w:rPr>
          <w:rFonts w:ascii="Times New Roman" w:hAnsi="Times New Roman" w:cs="Times New Roman"/>
          <w:iCs/>
          <w:sz w:val="24"/>
          <w:szCs w:val="24"/>
        </w:rPr>
        <w:t>абиратерона ацета</w:t>
      </w:r>
      <w:r w:rsidR="005C5392" w:rsidRPr="00E22DDB">
        <w:rPr>
          <w:rFonts w:ascii="Times New Roman" w:hAnsi="Times New Roman" w:cs="Times New Roman"/>
          <w:iCs/>
          <w:sz w:val="24"/>
          <w:szCs w:val="24"/>
        </w:rPr>
        <w:t>т</w:t>
      </w:r>
    </w:p>
    <w:p w14:paraId="17DE3BF5" w14:textId="77777777" w:rsidR="005C5392" w:rsidRPr="00E22DDB" w:rsidRDefault="005C5392" w:rsidP="00701A32">
      <w:pPr>
        <w:spacing w:after="0" w:line="240" w:lineRule="auto"/>
        <w:jc w:val="both"/>
        <w:rPr>
          <w:rFonts w:ascii="Times New Roman" w:hAnsi="Times New Roman" w:cs="Times New Roman"/>
          <w:b/>
          <w:bCs/>
          <w:sz w:val="24"/>
          <w:szCs w:val="24"/>
        </w:rPr>
      </w:pPr>
      <w:r w:rsidRPr="00E22DDB">
        <w:rPr>
          <w:rFonts w:ascii="Times New Roman" w:hAnsi="Times New Roman" w:cs="Times New Roman"/>
          <w:b/>
          <w:bCs/>
          <w:sz w:val="24"/>
          <w:szCs w:val="24"/>
        </w:rPr>
        <w:t>2.2 Качественный и количественный состав</w:t>
      </w:r>
    </w:p>
    <w:p w14:paraId="43AEEB9D" w14:textId="77777777" w:rsidR="005C5392" w:rsidRPr="00E22DDB" w:rsidRDefault="005C5392"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 xml:space="preserve">Одна таблетка содержит </w:t>
      </w:r>
    </w:p>
    <w:p w14:paraId="2891B60F" w14:textId="5E02B239" w:rsidR="005C5392" w:rsidRPr="00E22DDB" w:rsidRDefault="009A038E"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i/>
          <w:sz w:val="24"/>
          <w:szCs w:val="24"/>
        </w:rPr>
        <w:t>а</w:t>
      </w:r>
      <w:r w:rsidR="005C5392" w:rsidRPr="00E22DDB">
        <w:rPr>
          <w:rFonts w:ascii="Times New Roman" w:hAnsi="Times New Roman" w:cs="Times New Roman"/>
          <w:i/>
          <w:sz w:val="24"/>
          <w:szCs w:val="24"/>
        </w:rPr>
        <w:t>ктивное вещество</w:t>
      </w:r>
      <w:r w:rsidR="005C5392" w:rsidRPr="00E22DDB">
        <w:rPr>
          <w:rFonts w:ascii="Times New Roman" w:hAnsi="Times New Roman" w:cs="Times New Roman"/>
          <w:sz w:val="24"/>
          <w:szCs w:val="24"/>
        </w:rPr>
        <w:t xml:space="preserve"> - </w:t>
      </w:r>
      <w:r w:rsidR="0093670A" w:rsidRPr="00E22DDB">
        <w:rPr>
          <w:rFonts w:ascii="Times New Roman" w:hAnsi="Times New Roman" w:cs="Times New Roman"/>
          <w:sz w:val="24"/>
          <w:szCs w:val="24"/>
        </w:rPr>
        <w:t>абиратерона ацетат</w:t>
      </w:r>
      <w:r w:rsidR="0012438C" w:rsidRPr="00E22DDB">
        <w:rPr>
          <w:rFonts w:ascii="Times New Roman" w:hAnsi="Times New Roman" w:cs="Times New Roman"/>
          <w:sz w:val="24"/>
          <w:szCs w:val="24"/>
        </w:rPr>
        <w:t xml:space="preserve"> 250</w:t>
      </w:r>
      <w:r w:rsidR="00992271" w:rsidRPr="00E22DDB">
        <w:rPr>
          <w:rFonts w:ascii="Times New Roman" w:hAnsi="Times New Roman" w:cs="Times New Roman"/>
          <w:sz w:val="24"/>
          <w:szCs w:val="24"/>
        </w:rPr>
        <w:t>.00</w:t>
      </w:r>
      <w:r w:rsidR="005C5392" w:rsidRPr="00E22DDB">
        <w:rPr>
          <w:rFonts w:ascii="Times New Roman" w:hAnsi="Times New Roman" w:cs="Times New Roman"/>
          <w:sz w:val="24"/>
          <w:szCs w:val="24"/>
        </w:rPr>
        <w:t xml:space="preserve"> мг</w:t>
      </w:r>
      <w:r w:rsidRPr="00E22DDB">
        <w:rPr>
          <w:rFonts w:ascii="Times New Roman" w:hAnsi="Times New Roman" w:cs="Times New Roman"/>
          <w:sz w:val="24"/>
          <w:szCs w:val="24"/>
        </w:rPr>
        <w:t>.</w:t>
      </w:r>
    </w:p>
    <w:p w14:paraId="790236FC" w14:textId="1A89E3A5" w:rsidR="002B6911" w:rsidRPr="00E22DDB" w:rsidRDefault="009C166C"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iCs/>
          <w:sz w:val="24"/>
          <w:szCs w:val="24"/>
        </w:rPr>
        <w:t>Вспомогательные вещества, наличие которых надо учитывать в составе лекарственного препарата:</w:t>
      </w:r>
      <w:r w:rsidRPr="00E22DDB">
        <w:rPr>
          <w:rFonts w:ascii="Times New Roman" w:hAnsi="Times New Roman" w:cs="Times New Roman"/>
          <w:sz w:val="24"/>
          <w:szCs w:val="24"/>
        </w:rPr>
        <w:t xml:space="preserve"> </w:t>
      </w:r>
      <w:r w:rsidR="009A038E" w:rsidRPr="00E22DDB">
        <w:rPr>
          <w:rFonts w:ascii="Times New Roman" w:hAnsi="Times New Roman" w:cs="Times New Roman"/>
          <w:sz w:val="24"/>
          <w:szCs w:val="24"/>
        </w:rPr>
        <w:t>лактозы моногидрат 173.2 мг, натрий.</w:t>
      </w:r>
    </w:p>
    <w:p w14:paraId="65046412" w14:textId="77777777" w:rsidR="004A15DC" w:rsidRPr="00E22DDB" w:rsidRDefault="004A15DC"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Полный список вспомогательных веществ см. в пункте 6.1.</w:t>
      </w:r>
    </w:p>
    <w:p w14:paraId="747FF08F" w14:textId="77777777" w:rsidR="004A15DC" w:rsidRPr="00E22DDB" w:rsidRDefault="004A15DC" w:rsidP="00701A32">
      <w:pPr>
        <w:spacing w:after="0" w:line="240" w:lineRule="auto"/>
        <w:jc w:val="both"/>
        <w:rPr>
          <w:rFonts w:ascii="Times New Roman" w:hAnsi="Times New Roman" w:cs="Times New Roman"/>
          <w:sz w:val="24"/>
          <w:szCs w:val="24"/>
        </w:rPr>
      </w:pPr>
    </w:p>
    <w:p w14:paraId="6B3C9EF9" w14:textId="77777777" w:rsidR="004A15DC" w:rsidRPr="00E22DDB" w:rsidRDefault="004A15DC" w:rsidP="00701A32">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3. ЛЕКАРСТВЕННАЯ ФОРМА</w:t>
      </w:r>
    </w:p>
    <w:p w14:paraId="0FABAE92" w14:textId="53EA25C6" w:rsidR="005C5392" w:rsidRPr="00E22DDB" w:rsidRDefault="005C5392"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Таблетки</w:t>
      </w:r>
      <w:r w:rsidR="00711E17" w:rsidRPr="00E22DDB">
        <w:rPr>
          <w:rFonts w:ascii="Times New Roman" w:hAnsi="Times New Roman" w:cs="Times New Roman"/>
          <w:sz w:val="24"/>
          <w:szCs w:val="24"/>
        </w:rPr>
        <w:t>.</w:t>
      </w:r>
    </w:p>
    <w:p w14:paraId="78E6F03E" w14:textId="23468377" w:rsidR="004A15DC" w:rsidRPr="00E22DDB" w:rsidRDefault="009A038E" w:rsidP="00701A32">
      <w:pPr>
        <w:spacing w:after="0" w:line="240" w:lineRule="auto"/>
        <w:jc w:val="both"/>
        <w:rPr>
          <w:rFonts w:ascii="Times New Roman" w:hAnsi="Times New Roman" w:cs="Times New Roman"/>
          <w:color w:val="000000"/>
          <w:sz w:val="24"/>
          <w:szCs w:val="24"/>
        </w:rPr>
      </w:pPr>
      <w:r w:rsidRPr="00E22DDB">
        <w:rPr>
          <w:rFonts w:ascii="Times New Roman" w:hAnsi="Times New Roman" w:cs="Times New Roman"/>
          <w:color w:val="000000"/>
          <w:sz w:val="24"/>
          <w:szCs w:val="24"/>
        </w:rPr>
        <w:t>Таблетки от белого до почти белого цвета, овальной формы, с линией разлома на одной стороне.</w:t>
      </w:r>
    </w:p>
    <w:p w14:paraId="687BC07C" w14:textId="77777777" w:rsidR="009A038E" w:rsidRPr="00E22DDB" w:rsidRDefault="009A038E" w:rsidP="00701A32">
      <w:pPr>
        <w:spacing w:after="0" w:line="240" w:lineRule="auto"/>
        <w:jc w:val="both"/>
        <w:rPr>
          <w:rFonts w:ascii="Times New Roman" w:hAnsi="Times New Roman" w:cs="Times New Roman"/>
          <w:sz w:val="24"/>
          <w:szCs w:val="24"/>
        </w:rPr>
      </w:pPr>
    </w:p>
    <w:p w14:paraId="4E9B68E4" w14:textId="77777777" w:rsidR="00701A32" w:rsidRPr="00E22DDB" w:rsidRDefault="004A15DC" w:rsidP="00701A32">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4. КЛИНИЧЕСКИЕ ДАННЫЕ</w:t>
      </w:r>
    </w:p>
    <w:p w14:paraId="3B13E219" w14:textId="77777777" w:rsidR="009C166C" w:rsidRPr="00E22DDB" w:rsidRDefault="009C166C" w:rsidP="00701A32">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4.1. Показания к применению.</w:t>
      </w:r>
    </w:p>
    <w:p w14:paraId="04D5A8CF" w14:textId="77777777" w:rsidR="00EB45E3" w:rsidRPr="00E22DDB" w:rsidRDefault="00EB45E3"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Препарат Бидирон в комбинации с преднизоном или преднизолоном показан:</w:t>
      </w:r>
    </w:p>
    <w:p w14:paraId="13B9CADE" w14:textId="7932167A" w:rsidR="00EB45E3" w:rsidRPr="00E22DDB" w:rsidRDefault="00EB45E3"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 для лечения впервые диагностированного метастатического гормоночувствительного рака предстательной железы (мГЧРПЖ) с высоким риском у взрослых мужчин в комбинации с андрогендепривационной терапией (АДТ)</w:t>
      </w:r>
      <w:r w:rsidR="00216090" w:rsidRPr="00E22DDB">
        <w:rPr>
          <w:rFonts w:ascii="Times New Roman" w:hAnsi="Times New Roman" w:cs="Times New Roman"/>
          <w:sz w:val="24"/>
          <w:szCs w:val="24"/>
        </w:rPr>
        <w:t xml:space="preserve"> (см. раздел 5.1)</w:t>
      </w:r>
      <w:r w:rsidRPr="00E22DDB">
        <w:rPr>
          <w:rFonts w:ascii="Times New Roman" w:hAnsi="Times New Roman" w:cs="Times New Roman"/>
          <w:sz w:val="24"/>
          <w:szCs w:val="24"/>
        </w:rPr>
        <w:t>;</w:t>
      </w:r>
    </w:p>
    <w:p w14:paraId="59A86CEE" w14:textId="77777777" w:rsidR="00EB45E3" w:rsidRPr="00E22DDB" w:rsidRDefault="00EB45E3"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 для лечения метастатического кастрационно-резистентного рака предстательной железы (мКРРПЖ) у взрослых мужчин с отсутствием симптомов или с легкой симптоматикой после неудачной антиандрогенной терапии, которым клинически пока не показана химиотерапия;</w:t>
      </w:r>
    </w:p>
    <w:p w14:paraId="2D67CED6" w14:textId="2B1AB1C9" w:rsidR="00372A34" w:rsidRPr="00E22DDB" w:rsidRDefault="00EB45E3"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 xml:space="preserve">- для лечения (мКРРПЖ) у взрослых мужчин, прогрессирующего во время или после применения химиотерапии на основе доцетаксела. </w:t>
      </w:r>
    </w:p>
    <w:p w14:paraId="0276C28F" w14:textId="77777777" w:rsidR="00372A34" w:rsidRPr="00E22DDB" w:rsidRDefault="00372A34" w:rsidP="00701A32">
      <w:pPr>
        <w:spacing w:after="0" w:line="240" w:lineRule="auto"/>
        <w:jc w:val="both"/>
        <w:rPr>
          <w:rFonts w:ascii="Times New Roman" w:hAnsi="Times New Roman" w:cs="Times New Roman"/>
          <w:sz w:val="24"/>
          <w:szCs w:val="24"/>
        </w:rPr>
      </w:pPr>
    </w:p>
    <w:p w14:paraId="2112A11F" w14:textId="77777777" w:rsidR="009C166C" w:rsidRPr="00E22DDB" w:rsidRDefault="009C166C" w:rsidP="00701A32">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 xml:space="preserve">4.2. Режим </w:t>
      </w:r>
      <w:r w:rsidR="00372A34" w:rsidRPr="00E22DDB">
        <w:rPr>
          <w:rFonts w:ascii="Times New Roman" w:hAnsi="Times New Roman" w:cs="Times New Roman"/>
          <w:b/>
          <w:sz w:val="24"/>
          <w:szCs w:val="24"/>
        </w:rPr>
        <w:t>дозирования и способ применения</w:t>
      </w:r>
    </w:p>
    <w:p w14:paraId="62BBEC71" w14:textId="77777777" w:rsidR="009C166C" w:rsidRPr="00E22DDB" w:rsidRDefault="009C166C" w:rsidP="00701A32">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Режим дозирования</w:t>
      </w:r>
    </w:p>
    <w:p w14:paraId="5E6A9526" w14:textId="76620469"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Рекомендуемая доза составляет 1000 мг (</w:t>
      </w:r>
      <w:r w:rsidR="009A038E" w:rsidRPr="00E22DDB">
        <w:rPr>
          <w:rFonts w:ascii="Times New Roman" w:eastAsia="Times New Roman" w:hAnsi="Times New Roman" w:cs="Times New Roman"/>
          <w:sz w:val="24"/>
          <w:szCs w:val="24"/>
        </w:rPr>
        <w:t>4</w:t>
      </w:r>
      <w:r w:rsidR="0093670A" w:rsidRPr="00E22DDB">
        <w:rPr>
          <w:rFonts w:ascii="Times New Roman" w:eastAsia="Times New Roman" w:hAnsi="Times New Roman" w:cs="Times New Roman"/>
          <w:sz w:val="24"/>
          <w:szCs w:val="24"/>
        </w:rPr>
        <w:t xml:space="preserve"> таблетки по </w:t>
      </w:r>
      <w:r w:rsidR="009A038E" w:rsidRPr="00E22DDB">
        <w:rPr>
          <w:rFonts w:ascii="Times New Roman" w:eastAsia="Times New Roman" w:hAnsi="Times New Roman" w:cs="Times New Roman"/>
          <w:sz w:val="24"/>
          <w:szCs w:val="24"/>
        </w:rPr>
        <w:t>250</w:t>
      </w:r>
      <w:r w:rsidRPr="00E22DDB">
        <w:rPr>
          <w:rFonts w:ascii="Times New Roman" w:eastAsia="Times New Roman" w:hAnsi="Times New Roman" w:cs="Times New Roman"/>
          <w:sz w:val="24"/>
          <w:szCs w:val="24"/>
        </w:rPr>
        <w:t xml:space="preserve"> мг) в виде однократной суточной дозы, которая не должна приниматься совместно с пищей. Прием таблеток с пищей увеличивает системные концентрации абиратерона</w:t>
      </w:r>
      <w:r w:rsidR="00216090" w:rsidRPr="00E22DDB">
        <w:rPr>
          <w:rFonts w:ascii="Times New Roman" w:eastAsia="Times New Roman" w:hAnsi="Times New Roman" w:cs="Times New Roman"/>
          <w:sz w:val="24"/>
          <w:szCs w:val="24"/>
        </w:rPr>
        <w:t xml:space="preserve"> (см. раздел 4.5 и 5.2).</w:t>
      </w:r>
    </w:p>
    <w:p w14:paraId="39E8B470" w14:textId="77777777"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Дозировка преднизона или преднизолона</w:t>
      </w:r>
    </w:p>
    <w:p w14:paraId="2F5EFA2A" w14:textId="77777777"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При лечении мГЧРПЖ, препарат Бидирон применяется </w:t>
      </w:r>
      <w:r w:rsidR="005846A4" w:rsidRPr="00E22DDB">
        <w:rPr>
          <w:rFonts w:ascii="Times New Roman" w:eastAsia="Times New Roman" w:hAnsi="Times New Roman" w:cs="Times New Roman"/>
          <w:sz w:val="24"/>
          <w:szCs w:val="24"/>
        </w:rPr>
        <w:t xml:space="preserve">совместно с </w:t>
      </w:r>
      <w:r w:rsidRPr="00E22DDB">
        <w:rPr>
          <w:rFonts w:ascii="Times New Roman" w:eastAsia="Times New Roman" w:hAnsi="Times New Roman" w:cs="Times New Roman"/>
          <w:sz w:val="24"/>
          <w:szCs w:val="24"/>
        </w:rPr>
        <w:t xml:space="preserve">5 мг/день преднизона или преднизолонона. </w:t>
      </w:r>
    </w:p>
    <w:p w14:paraId="69AFF00D" w14:textId="77777777"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При лечении мКРРПЖ, препарат Бидирон  п</w:t>
      </w:r>
      <w:r w:rsidR="0093670A" w:rsidRPr="00E22DDB">
        <w:rPr>
          <w:rFonts w:ascii="Times New Roman" w:eastAsia="Times New Roman" w:hAnsi="Times New Roman" w:cs="Times New Roman"/>
          <w:sz w:val="24"/>
          <w:szCs w:val="24"/>
        </w:rPr>
        <w:t xml:space="preserve">рименяется совместно с </w:t>
      </w:r>
      <w:r w:rsidRPr="00E22DDB">
        <w:rPr>
          <w:rFonts w:ascii="Times New Roman" w:eastAsia="Times New Roman" w:hAnsi="Times New Roman" w:cs="Times New Roman"/>
          <w:sz w:val="24"/>
          <w:szCs w:val="24"/>
        </w:rPr>
        <w:t>10 мг/день преднизона или преднизолонона.</w:t>
      </w:r>
    </w:p>
    <w:p w14:paraId="1D9917EA" w14:textId="77777777"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lastRenderedPageBreak/>
        <w:t>Во время лечения пациентов, которым не была проведена хирургическая кастрация, должна быть продолжена лекарственная кастрация с помощью аналога лютеинизирующего гормона рилизинг-гормона (ЛГРГ).</w:t>
      </w:r>
    </w:p>
    <w:p w14:paraId="153722C9" w14:textId="77777777"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Рекомендуемый мониторинг</w:t>
      </w:r>
    </w:p>
    <w:p w14:paraId="7F3E2406" w14:textId="5BA24301"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До начала лечения препаратом Бидирон, каждые 2 недели в течение первых трех месяцев лечения, а затем ежемесячно следует измерять активность сывороточных трансаминаз. Артериальное давление, концентрацию калия в крови и степень задержки жидкости в организме следует оценивать ежемесячно. Однако у пациентов со значимым риском застойной сердечной недостаточности мониторинг следует проводить каждые 2 недели на протяжении первых трех месяцев лечения и затем – ежемесячно</w:t>
      </w:r>
      <w:r w:rsidR="00216090" w:rsidRPr="00E22DDB">
        <w:rPr>
          <w:rFonts w:ascii="Times New Roman" w:eastAsia="Times New Roman" w:hAnsi="Times New Roman" w:cs="Times New Roman"/>
          <w:sz w:val="24"/>
          <w:szCs w:val="24"/>
        </w:rPr>
        <w:t xml:space="preserve"> (см. раздел 4.4)</w:t>
      </w:r>
      <w:r w:rsidRPr="00E22DDB">
        <w:rPr>
          <w:rFonts w:ascii="Times New Roman" w:eastAsia="Times New Roman" w:hAnsi="Times New Roman" w:cs="Times New Roman"/>
          <w:sz w:val="24"/>
          <w:szCs w:val="24"/>
        </w:rPr>
        <w:t>.</w:t>
      </w:r>
    </w:p>
    <w:p w14:paraId="0DF9046D" w14:textId="77777777"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У пациентов с уже существующей гипокалиемией или у тех, у кого гипокалиемия развивается во время лечения препаратом Бидирон, необходимо поддержание уровня калия ≥4.0 мМ.</w:t>
      </w:r>
    </w:p>
    <w:p w14:paraId="252B8205" w14:textId="77777777"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У пациентов, у которых развиваются проявления токсичности ≥3 степени, включая гипертензию, гипокалиемию, отек и другие неминералокортикоидные проявления токсичности, лечение следует приостановить и назначить надлежащее медикаментозное лечение. Лечение препаратом Бидирон не следует возобновлять до тех пор, пока симптомы токсичности не снизятся до 1 степени  или до исходного уровня. </w:t>
      </w:r>
    </w:p>
    <w:p w14:paraId="1127CB0B" w14:textId="77777777"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В случае пропуска приема суточной дозы препарата Бидирон, преднизона или преднизолона лечение должно быть продолжено на следующий день с обычной суточной дозой.</w:t>
      </w:r>
    </w:p>
    <w:p w14:paraId="3EA51493" w14:textId="77777777"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Гепатотоксичность</w:t>
      </w:r>
    </w:p>
    <w:p w14:paraId="5E13325A" w14:textId="6C25FF8C" w:rsidR="0093670A" w:rsidRPr="00E22DDB" w:rsidRDefault="0093670A" w:rsidP="0093670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Если в ходе лечения препаратом у пациентов развились признаки гепатотоксичности (повышение активности аланинаминотрансферазы (АЛТ) или аспартатаминотрансферазы (АСТ) в 5 раз превышающей верхнюю границу нормы), терапию следует прекратить немедленно</w:t>
      </w:r>
      <w:r w:rsidR="00216090" w:rsidRPr="00E22DDB">
        <w:rPr>
          <w:rFonts w:ascii="Times New Roman" w:eastAsia="Times New Roman" w:hAnsi="Times New Roman" w:cs="Times New Roman"/>
          <w:sz w:val="24"/>
          <w:szCs w:val="24"/>
        </w:rPr>
        <w:t xml:space="preserve"> (см. раздел 4.4)</w:t>
      </w:r>
      <w:r w:rsidRPr="00E22DDB">
        <w:rPr>
          <w:rFonts w:ascii="Times New Roman" w:eastAsia="Times New Roman" w:hAnsi="Times New Roman" w:cs="Times New Roman"/>
          <w:sz w:val="24"/>
          <w:szCs w:val="24"/>
        </w:rPr>
        <w:t xml:space="preserve">. Повторную терапию у пациентов с нормализовавшимися показателями функции печени можно начать со сниженной дозой, составляющей 500 </w:t>
      </w:r>
      <w:r w:rsidR="008536F7" w:rsidRPr="00E22DDB">
        <w:rPr>
          <w:rFonts w:ascii="Times New Roman" w:eastAsia="Times New Roman" w:hAnsi="Times New Roman" w:cs="Times New Roman"/>
          <w:sz w:val="24"/>
          <w:szCs w:val="24"/>
        </w:rPr>
        <w:t>мг (</w:t>
      </w:r>
      <w:r w:rsidR="009A038E" w:rsidRPr="00E22DDB">
        <w:rPr>
          <w:rFonts w:ascii="Times New Roman" w:eastAsia="Times New Roman" w:hAnsi="Times New Roman" w:cs="Times New Roman"/>
          <w:sz w:val="24"/>
          <w:szCs w:val="24"/>
        </w:rPr>
        <w:t>2</w:t>
      </w:r>
      <w:r w:rsidRPr="00E22DDB">
        <w:rPr>
          <w:rFonts w:ascii="Times New Roman" w:eastAsia="Times New Roman" w:hAnsi="Times New Roman" w:cs="Times New Roman"/>
          <w:sz w:val="24"/>
          <w:szCs w:val="24"/>
        </w:rPr>
        <w:t xml:space="preserve"> таблетк</w:t>
      </w:r>
      <w:r w:rsidR="009A038E" w:rsidRPr="00E22DDB">
        <w:rPr>
          <w:rFonts w:ascii="Times New Roman" w:eastAsia="Times New Roman" w:hAnsi="Times New Roman" w:cs="Times New Roman"/>
          <w:sz w:val="24"/>
          <w:szCs w:val="24"/>
        </w:rPr>
        <w:t>и по</w:t>
      </w:r>
      <w:r w:rsidRPr="00E22DDB">
        <w:rPr>
          <w:rFonts w:ascii="Times New Roman" w:eastAsia="Times New Roman" w:hAnsi="Times New Roman" w:cs="Times New Roman"/>
          <w:sz w:val="24"/>
          <w:szCs w:val="24"/>
        </w:rPr>
        <w:t xml:space="preserve"> </w:t>
      </w:r>
      <w:r w:rsidR="009A038E" w:rsidRPr="00E22DDB">
        <w:rPr>
          <w:rFonts w:ascii="Times New Roman" w:eastAsia="Times New Roman" w:hAnsi="Times New Roman" w:cs="Times New Roman"/>
          <w:sz w:val="24"/>
          <w:szCs w:val="24"/>
        </w:rPr>
        <w:t>25</w:t>
      </w:r>
      <w:r w:rsidRPr="00E22DDB">
        <w:rPr>
          <w:rFonts w:ascii="Times New Roman" w:eastAsia="Times New Roman" w:hAnsi="Times New Roman" w:cs="Times New Roman"/>
          <w:sz w:val="24"/>
          <w:szCs w:val="24"/>
        </w:rPr>
        <w:t xml:space="preserve">0 мг) один раз в день. В этом случае, контроль активности сывороточных трансаминаз должен осуществляться, как минимум, каждые две недели в течение трех месяцев, а затем – ежемесячно. Если признаки гепатотоксичности возникают при приеме в дозе 500 мг, терапию препаратом Бидирон следует прекратить. </w:t>
      </w:r>
    </w:p>
    <w:p w14:paraId="217F9691" w14:textId="77777777" w:rsidR="0093670A" w:rsidRPr="00E22DDB" w:rsidRDefault="0093670A" w:rsidP="0093670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Если у пациентов в любой период терапии развивается тяжелая форма гепатотоксичности (уровень аланинаминотрансферазы или аспартатамино-трансферазы превышает верхнюю границу нормы в 20 раз), препарат Бидирон следует отменить, и не подвергать данного пациента терапии повторно.  </w:t>
      </w:r>
    </w:p>
    <w:p w14:paraId="36BFF36C" w14:textId="77777777" w:rsidR="00701A32" w:rsidRPr="00E22DDB" w:rsidRDefault="00701A32"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Особые группы пациентов</w:t>
      </w:r>
    </w:p>
    <w:p w14:paraId="7CEA394B" w14:textId="77777777"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Нарушение функции печени</w:t>
      </w:r>
    </w:p>
    <w:p w14:paraId="40A4E1E4" w14:textId="1D844DE2"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У пациентов с ранее выявленной печеночной недостаточностью лёгкой степени (класс А по классификации Чайлд-Пью) корректировка дозы не требуется. Было показано, что умеренное нарушение функции печени (класс В согласно классификации по Чайлд-Пью) увеличивает системное воздействие абиратерона приблизительно в четыре раза после перорального приема однократных доз абиратерона ацетата, равных 1000 мг. Отсутствуют данные о клинической безопасности и эффективности многократных доз абиратерона ацетата при их назначении пациентам с умеренным или тяжелым нарушением функции печени (класс В или С согласно классификации по Чайлд-Пью). Какая-либо коррекция дозы не может быть спрогнозирована. Следует тщательно оценивать использование препарата Бидирон у пациентов с умеренным нарушением функции печени, для которых польза должна однозначно превосходить возможный риск</w:t>
      </w:r>
      <w:r w:rsidR="00BA21A2" w:rsidRPr="00E22DDB">
        <w:rPr>
          <w:rFonts w:ascii="Times New Roman" w:eastAsia="Times New Roman" w:hAnsi="Times New Roman" w:cs="Times New Roman"/>
          <w:sz w:val="24"/>
          <w:szCs w:val="24"/>
        </w:rPr>
        <w:t xml:space="preserve"> (см. раздел 4.2 и 5.2)</w:t>
      </w:r>
      <w:r w:rsidRPr="00E22DDB">
        <w:rPr>
          <w:rFonts w:ascii="Times New Roman" w:eastAsia="Times New Roman" w:hAnsi="Times New Roman" w:cs="Times New Roman"/>
          <w:sz w:val="24"/>
          <w:szCs w:val="24"/>
        </w:rPr>
        <w:t>. Препарат Бидирон не должен применяться у пациентов с тяжелым нарушением функции печени</w:t>
      </w:r>
      <w:r w:rsidR="00BA21A2" w:rsidRPr="00E22DDB">
        <w:rPr>
          <w:rFonts w:ascii="Times New Roman" w:eastAsia="Times New Roman" w:hAnsi="Times New Roman" w:cs="Times New Roman"/>
          <w:sz w:val="24"/>
          <w:szCs w:val="24"/>
        </w:rPr>
        <w:t xml:space="preserve"> (см. раздел 4.3, 4.4 и 5.2)</w:t>
      </w:r>
      <w:r w:rsidRPr="00E22DDB">
        <w:rPr>
          <w:rFonts w:ascii="Times New Roman" w:eastAsia="Times New Roman" w:hAnsi="Times New Roman" w:cs="Times New Roman"/>
          <w:sz w:val="24"/>
          <w:szCs w:val="24"/>
        </w:rPr>
        <w:t>.</w:t>
      </w:r>
    </w:p>
    <w:p w14:paraId="107AB42F" w14:textId="77777777"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Нарушение функции почек</w:t>
      </w:r>
    </w:p>
    <w:p w14:paraId="4E5F2612" w14:textId="7444FA11"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Не требуется какой-либо коррекции дозы у пациентов с нарушением функции почек</w:t>
      </w:r>
      <w:r w:rsidR="00BA21A2" w:rsidRPr="00E22DDB">
        <w:rPr>
          <w:rFonts w:ascii="Times New Roman" w:eastAsia="Times New Roman" w:hAnsi="Times New Roman" w:cs="Times New Roman"/>
          <w:sz w:val="24"/>
          <w:szCs w:val="24"/>
        </w:rPr>
        <w:t xml:space="preserve"> (см. </w:t>
      </w:r>
      <w:r w:rsidR="00BA21A2" w:rsidRPr="00E22DDB">
        <w:rPr>
          <w:rFonts w:ascii="Times New Roman" w:eastAsia="Times New Roman" w:hAnsi="Times New Roman" w:cs="Times New Roman"/>
          <w:sz w:val="24"/>
          <w:szCs w:val="24"/>
        </w:rPr>
        <w:lastRenderedPageBreak/>
        <w:t>раздел 5.2)</w:t>
      </w:r>
      <w:r w:rsidRPr="00E22DDB">
        <w:rPr>
          <w:rFonts w:ascii="Times New Roman" w:eastAsia="Times New Roman" w:hAnsi="Times New Roman" w:cs="Times New Roman"/>
          <w:sz w:val="24"/>
          <w:szCs w:val="24"/>
        </w:rPr>
        <w:t>. Однако, отсутствует клинический опыт применения у пациентов с раком предстательной железы и тяжелым нарушением функции почек. При применении у данной группы пациентов рекомендуется соблюдать осторожность</w:t>
      </w:r>
      <w:r w:rsidR="00BA21A2" w:rsidRPr="00E22DDB">
        <w:rPr>
          <w:rFonts w:ascii="Times New Roman" w:eastAsia="Times New Roman" w:hAnsi="Times New Roman" w:cs="Times New Roman"/>
          <w:sz w:val="24"/>
          <w:szCs w:val="24"/>
        </w:rPr>
        <w:t xml:space="preserve"> (см. раздел 4.4)</w:t>
      </w:r>
      <w:r w:rsidRPr="00E22DDB">
        <w:rPr>
          <w:rFonts w:ascii="Times New Roman" w:eastAsia="Times New Roman" w:hAnsi="Times New Roman" w:cs="Times New Roman"/>
          <w:sz w:val="24"/>
          <w:szCs w:val="24"/>
        </w:rPr>
        <w:t xml:space="preserve">. </w:t>
      </w:r>
    </w:p>
    <w:p w14:paraId="334466D1" w14:textId="77777777" w:rsidR="00EB45E3"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
          <w:iCs/>
          <w:sz w:val="24"/>
          <w:szCs w:val="24"/>
        </w:rPr>
      </w:pPr>
      <w:r w:rsidRPr="00E22DDB">
        <w:rPr>
          <w:rFonts w:ascii="Times New Roman" w:eastAsia="Times New Roman" w:hAnsi="Times New Roman" w:cs="Times New Roman"/>
          <w:bCs/>
          <w:i/>
          <w:iCs/>
          <w:sz w:val="24"/>
          <w:szCs w:val="24"/>
        </w:rPr>
        <w:t>Дети</w:t>
      </w:r>
    </w:p>
    <w:p w14:paraId="62293771" w14:textId="77777777" w:rsidR="004115FD" w:rsidRPr="00E22DDB" w:rsidRDefault="00EB45E3"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Соответствующий опыт применения препарата Бидирон в детской популяции отсутствует.</w:t>
      </w:r>
    </w:p>
    <w:p w14:paraId="6240C9E2" w14:textId="77777777" w:rsidR="009973B0" w:rsidRPr="00E22DDB" w:rsidRDefault="0068480B"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Способ применения</w:t>
      </w:r>
    </w:p>
    <w:p w14:paraId="6A8DC927" w14:textId="77777777" w:rsidR="009973B0" w:rsidRPr="00E22DDB" w:rsidRDefault="009973B0"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Препарат Бидирон предназначен для приема внутрь.</w:t>
      </w:r>
    </w:p>
    <w:p w14:paraId="5C6AC624" w14:textId="77777777" w:rsidR="009973B0" w:rsidRPr="00E22DDB" w:rsidRDefault="009973B0"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Препарат Бидирон следует принимать, как минимум,  через два часа после приема пищи и нельзя принимать пищу, как минимум, в течение одного часа после приёма таблеток. Таблетку следует глотать целиком, запивая водой.  </w:t>
      </w:r>
    </w:p>
    <w:p w14:paraId="07403F47" w14:textId="77777777" w:rsidR="009C166C" w:rsidRPr="00E22DDB" w:rsidRDefault="0068480B" w:rsidP="00701A32">
      <w:pPr>
        <w:spacing w:before="240"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4.3. Противопоказания</w:t>
      </w:r>
    </w:p>
    <w:p w14:paraId="46C8455C" w14:textId="15EE3721" w:rsidR="0022123A" w:rsidRPr="00E22DDB" w:rsidRDefault="00BA21A2" w:rsidP="00BA21A2">
      <w:pPr>
        <w:pStyle w:val="a4"/>
        <w:numPr>
          <w:ilvl w:val="0"/>
          <w:numId w:val="2"/>
        </w:numPr>
        <w:ind w:left="284" w:hanging="284"/>
        <w:jc w:val="both"/>
        <w:rPr>
          <w:rFonts w:ascii="Times New Roman" w:hAnsi="Times New Roman"/>
          <w:sz w:val="24"/>
          <w:szCs w:val="24"/>
          <w:lang w:val="ru-RU" w:bidi="ar-IQ"/>
        </w:rPr>
      </w:pPr>
      <w:r w:rsidRPr="00E22DDB">
        <w:rPr>
          <w:rFonts w:ascii="Times New Roman" w:hAnsi="Times New Roman"/>
          <w:sz w:val="24"/>
          <w:szCs w:val="24"/>
          <w:lang w:val="ru-RU" w:bidi="ar-IQ"/>
        </w:rPr>
        <w:t>гипер</w:t>
      </w:r>
      <w:r w:rsidR="0022123A" w:rsidRPr="00E22DDB">
        <w:rPr>
          <w:rFonts w:ascii="Times New Roman" w:hAnsi="Times New Roman"/>
          <w:sz w:val="24"/>
          <w:szCs w:val="24"/>
          <w:lang w:val="ru-RU" w:bidi="ar-IQ"/>
        </w:rPr>
        <w:t xml:space="preserve">чувствительность к действующим веществам или к любому из вспомогательных веществ, перечисленных в разделе </w:t>
      </w:r>
      <w:r w:rsidR="00867192" w:rsidRPr="00E22DDB">
        <w:rPr>
          <w:rFonts w:ascii="Times New Roman" w:hAnsi="Times New Roman"/>
          <w:sz w:val="24"/>
          <w:szCs w:val="24"/>
          <w:lang w:val="ru-RU" w:bidi="ar-IQ"/>
        </w:rPr>
        <w:t>6.1</w:t>
      </w:r>
      <w:r w:rsidR="0022123A" w:rsidRPr="00E22DDB">
        <w:rPr>
          <w:rFonts w:ascii="Times New Roman" w:hAnsi="Times New Roman"/>
          <w:sz w:val="24"/>
          <w:szCs w:val="24"/>
          <w:lang w:val="ru-RU" w:bidi="ar-IQ"/>
        </w:rPr>
        <w:t>;</w:t>
      </w:r>
    </w:p>
    <w:p w14:paraId="0C19A79A" w14:textId="282284DD" w:rsidR="00F3391F" w:rsidRPr="00E22DDB" w:rsidRDefault="00F3391F" w:rsidP="00BA21A2">
      <w:pPr>
        <w:widowControl w:val="0"/>
        <w:numPr>
          <w:ilvl w:val="0"/>
          <w:numId w:val="2"/>
        </w:numPr>
        <w:shd w:val="clear" w:color="auto" w:fill="FFFFFF"/>
        <w:autoSpaceDE w:val="0"/>
        <w:autoSpaceDN w:val="0"/>
        <w:adjustRightInd w:val="0"/>
        <w:spacing w:after="0" w:line="240" w:lineRule="auto"/>
        <w:ind w:left="284" w:hanging="284"/>
        <w:jc w:val="both"/>
        <w:rPr>
          <w:rFonts w:ascii="Times New Roman" w:hAnsi="Times New Roman" w:cs="Times New Roman"/>
          <w:bCs/>
          <w:color w:val="000000"/>
          <w:spacing w:val="-3"/>
          <w:sz w:val="24"/>
          <w:szCs w:val="24"/>
        </w:rPr>
      </w:pPr>
      <w:r w:rsidRPr="00E22DDB">
        <w:rPr>
          <w:rFonts w:ascii="Times New Roman" w:hAnsi="Times New Roman" w:cs="Times New Roman"/>
          <w:bCs/>
          <w:color w:val="000000"/>
          <w:spacing w:val="-3"/>
          <w:sz w:val="24"/>
          <w:szCs w:val="24"/>
        </w:rPr>
        <w:t>тяжелое нарушение функции печени (класс С согласно классификации по Чайлд-Пью)</w:t>
      </w:r>
      <w:r w:rsidR="00BA21A2" w:rsidRPr="00E22DDB">
        <w:rPr>
          <w:rFonts w:ascii="Times New Roman" w:hAnsi="Times New Roman" w:cs="Times New Roman"/>
          <w:bCs/>
          <w:color w:val="000000"/>
          <w:spacing w:val="-3"/>
          <w:sz w:val="24"/>
          <w:szCs w:val="24"/>
        </w:rPr>
        <w:t xml:space="preserve"> (см. раздел 4.2, 4.4 и 5.2)</w:t>
      </w:r>
      <w:r w:rsidR="001D141C" w:rsidRPr="00E22DDB">
        <w:rPr>
          <w:rFonts w:ascii="Times New Roman" w:hAnsi="Times New Roman" w:cs="Times New Roman"/>
          <w:bCs/>
          <w:color w:val="000000"/>
          <w:spacing w:val="-3"/>
          <w:sz w:val="24"/>
          <w:szCs w:val="24"/>
        </w:rPr>
        <w:t>;</w:t>
      </w:r>
    </w:p>
    <w:p w14:paraId="5099A4F5" w14:textId="77777777" w:rsidR="001D141C" w:rsidRPr="00E22DDB" w:rsidRDefault="001D141C" w:rsidP="00BA21A2">
      <w:pPr>
        <w:widowControl w:val="0"/>
        <w:numPr>
          <w:ilvl w:val="0"/>
          <w:numId w:val="2"/>
        </w:numPr>
        <w:shd w:val="clear" w:color="auto" w:fill="FFFFFF"/>
        <w:autoSpaceDE w:val="0"/>
        <w:autoSpaceDN w:val="0"/>
        <w:adjustRightInd w:val="0"/>
        <w:spacing w:after="0" w:line="240" w:lineRule="auto"/>
        <w:ind w:left="284" w:hanging="284"/>
        <w:jc w:val="both"/>
        <w:rPr>
          <w:rFonts w:ascii="Times New Roman" w:hAnsi="Times New Roman" w:cs="Times New Roman"/>
          <w:bCs/>
          <w:color w:val="000000"/>
          <w:spacing w:val="-3"/>
          <w:sz w:val="24"/>
          <w:szCs w:val="24"/>
        </w:rPr>
      </w:pPr>
      <w:r w:rsidRPr="00E22DDB">
        <w:rPr>
          <w:rFonts w:ascii="Times New Roman" w:hAnsi="Times New Roman" w:cs="Times New Roman"/>
          <w:bCs/>
          <w:color w:val="000000"/>
          <w:spacing w:val="-3"/>
          <w:sz w:val="24"/>
          <w:szCs w:val="24"/>
        </w:rPr>
        <w:t>Бидирон с преднизоном или преднизолоном</w:t>
      </w:r>
      <w:r w:rsidR="00EF2734" w:rsidRPr="00E22DDB">
        <w:rPr>
          <w:rFonts w:ascii="Times New Roman" w:hAnsi="Times New Roman" w:cs="Times New Roman"/>
          <w:bCs/>
          <w:color w:val="000000"/>
          <w:spacing w:val="-3"/>
          <w:sz w:val="24"/>
          <w:szCs w:val="24"/>
        </w:rPr>
        <w:t xml:space="preserve"> в комбинации с </w:t>
      </w:r>
      <w:r w:rsidR="00EF2734" w:rsidRPr="00E22DDB">
        <w:rPr>
          <w:rFonts w:ascii="Times New Roman" w:hAnsi="Times New Roman" w:cs="Times New Roman"/>
          <w:bCs/>
          <w:color w:val="000000"/>
          <w:spacing w:val="-3"/>
          <w:sz w:val="24"/>
          <w:szCs w:val="24"/>
          <w:lang w:val="en-US"/>
        </w:rPr>
        <w:t>R</w:t>
      </w:r>
      <w:r w:rsidRPr="00E22DDB">
        <w:rPr>
          <w:rFonts w:ascii="Times New Roman" w:hAnsi="Times New Roman" w:cs="Times New Roman"/>
          <w:bCs/>
          <w:color w:val="000000"/>
          <w:spacing w:val="-3"/>
          <w:sz w:val="24"/>
          <w:szCs w:val="24"/>
        </w:rPr>
        <w:t>а-223;</w:t>
      </w:r>
    </w:p>
    <w:p w14:paraId="315A26A4" w14:textId="77777777" w:rsidR="0068480B" w:rsidRPr="00E22DDB" w:rsidRDefault="00F3391F" w:rsidP="00BA21A2">
      <w:pPr>
        <w:pStyle w:val="a4"/>
        <w:numPr>
          <w:ilvl w:val="0"/>
          <w:numId w:val="2"/>
        </w:numPr>
        <w:ind w:left="284" w:hanging="284"/>
        <w:jc w:val="both"/>
        <w:rPr>
          <w:rFonts w:ascii="Times New Roman" w:hAnsi="Times New Roman"/>
          <w:sz w:val="24"/>
          <w:szCs w:val="24"/>
          <w:lang w:val="ru-RU" w:bidi="ar-IQ"/>
        </w:rPr>
      </w:pPr>
      <w:r w:rsidRPr="00E22DDB">
        <w:rPr>
          <w:rFonts w:ascii="Times New Roman" w:hAnsi="Times New Roman"/>
          <w:bCs/>
          <w:color w:val="000000"/>
          <w:spacing w:val="-3"/>
          <w:sz w:val="24"/>
          <w:szCs w:val="24"/>
          <w:lang w:val="ru-RU"/>
        </w:rPr>
        <w:t>беременность и репродуктивный возраст у женщин</w:t>
      </w:r>
    </w:p>
    <w:p w14:paraId="6A894109" w14:textId="77777777" w:rsidR="0068480B" w:rsidRPr="00E22DDB" w:rsidRDefault="0068480B" w:rsidP="0068480B">
      <w:pPr>
        <w:pStyle w:val="a4"/>
        <w:jc w:val="both"/>
        <w:rPr>
          <w:rFonts w:ascii="Times New Roman" w:hAnsi="Times New Roman"/>
          <w:sz w:val="24"/>
          <w:szCs w:val="24"/>
          <w:lang w:val="ru-RU" w:bidi="ar-IQ"/>
        </w:rPr>
      </w:pPr>
    </w:p>
    <w:p w14:paraId="2E90DFD8" w14:textId="77777777" w:rsidR="009F7D92" w:rsidRPr="00E22DDB" w:rsidRDefault="009F7D92" w:rsidP="0068480B">
      <w:pPr>
        <w:pStyle w:val="a4"/>
        <w:jc w:val="both"/>
        <w:rPr>
          <w:rFonts w:ascii="Times New Roman" w:hAnsi="Times New Roman"/>
          <w:b/>
          <w:sz w:val="24"/>
          <w:szCs w:val="24"/>
          <w:lang w:val="ru-RU" w:bidi="ar-IQ"/>
        </w:rPr>
      </w:pPr>
      <w:r w:rsidRPr="00E22DDB">
        <w:rPr>
          <w:rFonts w:ascii="Times New Roman" w:hAnsi="Times New Roman"/>
          <w:b/>
          <w:sz w:val="24"/>
          <w:szCs w:val="24"/>
          <w:lang w:val="ru-RU"/>
        </w:rPr>
        <w:t>4.4.</w:t>
      </w:r>
      <w:r w:rsidRPr="00E22DDB">
        <w:rPr>
          <w:rFonts w:ascii="Times New Roman" w:hAnsi="Times New Roman"/>
          <w:b/>
          <w:sz w:val="24"/>
          <w:szCs w:val="24"/>
        </w:rPr>
        <w:t> </w:t>
      </w:r>
      <w:r w:rsidRPr="00E22DDB">
        <w:rPr>
          <w:rFonts w:ascii="Times New Roman" w:hAnsi="Times New Roman"/>
          <w:b/>
          <w:sz w:val="24"/>
          <w:szCs w:val="24"/>
          <w:lang w:val="ru-RU"/>
        </w:rPr>
        <w:t xml:space="preserve">Особые указания и меры </w:t>
      </w:r>
      <w:r w:rsidR="0068480B" w:rsidRPr="00E22DDB">
        <w:rPr>
          <w:rFonts w:ascii="Times New Roman" w:hAnsi="Times New Roman"/>
          <w:b/>
          <w:sz w:val="24"/>
          <w:szCs w:val="24"/>
          <w:lang w:val="ru-RU"/>
        </w:rPr>
        <w:t>предосторожности при применении</w:t>
      </w:r>
    </w:p>
    <w:p w14:paraId="06E838B0" w14:textId="77777777" w:rsidR="005A53ED" w:rsidRPr="00E22DDB" w:rsidRDefault="005A53ED" w:rsidP="00701A32">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Артериальная гипертензия, гипокалиемия, задержка жидкости и сердечная недостаточность вследствие избытка минералокортикоидов</w:t>
      </w:r>
    </w:p>
    <w:p w14:paraId="15D37BE6" w14:textId="4B086580" w:rsidR="005A53ED" w:rsidRPr="00E22DDB" w:rsidRDefault="005A53ED" w:rsidP="00701A32">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Препарат Бидирон может вызывать гипертензию, гипокалиемию и задержку жидкости</w:t>
      </w:r>
      <w:r w:rsidR="00C87B1D" w:rsidRPr="00E22DDB">
        <w:rPr>
          <w:rFonts w:ascii="Times New Roman" w:eastAsia="Times New Roman" w:hAnsi="Times New Roman" w:cs="Times New Roman"/>
          <w:sz w:val="24"/>
          <w:szCs w:val="24"/>
        </w:rPr>
        <w:t xml:space="preserve"> (см. раздел 4.8)</w:t>
      </w:r>
      <w:r w:rsidRPr="00E22DDB">
        <w:rPr>
          <w:rFonts w:ascii="Times New Roman" w:eastAsia="Times New Roman" w:hAnsi="Times New Roman" w:cs="Times New Roman"/>
          <w:sz w:val="24"/>
          <w:szCs w:val="24"/>
        </w:rPr>
        <w:t xml:space="preserve">, эти симптомы являются следствием роста уровня минералокортикоидов в результате ингибирования </w:t>
      </w:r>
      <w:r w:rsidRPr="00E22DDB">
        <w:rPr>
          <w:rFonts w:ascii="Times New Roman" w:eastAsia="Times New Roman" w:hAnsi="Times New Roman" w:cs="Times New Roman"/>
          <w:sz w:val="24"/>
          <w:szCs w:val="24"/>
          <w:lang w:val="en-US"/>
        </w:rPr>
        <w:t>CYP</w:t>
      </w:r>
      <w:r w:rsidRPr="00E22DDB">
        <w:rPr>
          <w:rFonts w:ascii="Times New Roman" w:eastAsia="Times New Roman" w:hAnsi="Times New Roman" w:cs="Times New Roman"/>
          <w:sz w:val="24"/>
          <w:szCs w:val="24"/>
        </w:rPr>
        <w:t>17</w:t>
      </w:r>
      <w:r w:rsidR="00C87B1D" w:rsidRPr="00E22DDB">
        <w:rPr>
          <w:rFonts w:ascii="Times New Roman" w:eastAsia="Times New Roman" w:hAnsi="Times New Roman" w:cs="Times New Roman"/>
          <w:sz w:val="24"/>
          <w:szCs w:val="24"/>
        </w:rPr>
        <w:t xml:space="preserve"> (см. раздел 5.1)</w:t>
      </w:r>
      <w:r w:rsidRPr="00E22DDB">
        <w:rPr>
          <w:rFonts w:ascii="Times New Roman" w:eastAsia="Times New Roman" w:hAnsi="Times New Roman" w:cs="Times New Roman"/>
          <w:sz w:val="24"/>
          <w:szCs w:val="24"/>
        </w:rPr>
        <w:t xml:space="preserve">. Одновременный приём кортикостероидов уменьшает стимулирующее действие адренокортикотропного гормона (АКТГ), что приводит к снижению частоты и тяжести этих неблагоприятных явлений. Следует соблюдать осторожность при лечении больных, состояние которых может ухудшаться при повышении артериального давления, развитии гипокалиемии (например, пациенты, принимающие сердечные гликозиды) или при задержке жидкости (например, у пациентов с сердечной недостаточностью, у пациентов с тяжелой или нестабильной стенокардией, перенесенным инфарктом миокарда или желудочковой аритмией, а также с тяжелой почечной недостаточностью). </w:t>
      </w:r>
    </w:p>
    <w:p w14:paraId="6D44F6BA" w14:textId="7664068F" w:rsidR="005A53ED" w:rsidRPr="00E22DDB" w:rsidRDefault="005A53ED" w:rsidP="00701A32">
      <w:pPr>
        <w:widowControl w:val="0"/>
        <w:suppressAutoHyphens/>
        <w:spacing w:after="0" w:line="240" w:lineRule="auto"/>
        <w:jc w:val="both"/>
        <w:rPr>
          <w:rFonts w:ascii="Times New Roman" w:eastAsia="Times New Roman" w:hAnsi="Times New Roman" w:cs="Times New Roman"/>
          <w:kern w:val="1"/>
          <w:sz w:val="24"/>
          <w:szCs w:val="24"/>
          <w:lang w:eastAsia="ar-SA"/>
        </w:rPr>
      </w:pPr>
      <w:r w:rsidRPr="00E22DDB">
        <w:rPr>
          <w:rFonts w:ascii="Times New Roman" w:eastAsia="Times New Roman" w:hAnsi="Times New Roman" w:cs="Times New Roman"/>
          <w:sz w:val="24"/>
          <w:szCs w:val="24"/>
        </w:rPr>
        <w:t xml:space="preserve">Препарат Бидирон следует с осторожностью назначать пациентам с сердечно-сосудистыми заболеваниями в анамнезе. Из исследований 3 фазы, проведенных с препаратом абиратерона ацетат, были исключены пациенты с неконтролируемой артериальной гипертензией, клинически значимым заболеванием сердца, сопровождавшимся инфарктом миокарда или артериальными тромботическими осложнениями в последние 6 месяцев, тяжелой или нестабильной стенокардией, или сердечной недостаточностью функционального класса </w:t>
      </w:r>
      <w:r w:rsidRPr="00E22DDB">
        <w:rPr>
          <w:rFonts w:ascii="Times New Roman" w:eastAsia="Times New Roman" w:hAnsi="Times New Roman" w:cs="Times New Roman"/>
          <w:sz w:val="24"/>
          <w:szCs w:val="24"/>
          <w:lang w:val="en-US"/>
        </w:rPr>
        <w:t>III</w:t>
      </w:r>
      <w:r w:rsidRPr="00E22DDB">
        <w:rPr>
          <w:rFonts w:ascii="Times New Roman" w:eastAsia="Times New Roman" w:hAnsi="Times New Roman" w:cs="Times New Roman"/>
          <w:sz w:val="24"/>
          <w:szCs w:val="24"/>
        </w:rPr>
        <w:t xml:space="preserve"> или </w:t>
      </w:r>
      <w:r w:rsidRPr="00E22DDB">
        <w:rPr>
          <w:rFonts w:ascii="Times New Roman" w:eastAsia="Times New Roman" w:hAnsi="Times New Roman" w:cs="Times New Roman"/>
          <w:sz w:val="24"/>
          <w:szCs w:val="24"/>
          <w:lang w:val="en-US"/>
        </w:rPr>
        <w:t>IV</w:t>
      </w:r>
      <w:r w:rsidRPr="00E22DDB">
        <w:rPr>
          <w:rFonts w:ascii="Times New Roman" w:eastAsia="Times New Roman" w:hAnsi="Times New Roman" w:cs="Times New Roman"/>
          <w:sz w:val="24"/>
          <w:szCs w:val="24"/>
        </w:rPr>
        <w:t xml:space="preserve"> по классификации </w:t>
      </w:r>
      <w:r w:rsidRPr="00E22DDB">
        <w:rPr>
          <w:rFonts w:ascii="Times New Roman" w:eastAsia="Times New Roman" w:hAnsi="Times New Roman" w:cs="Times New Roman"/>
          <w:sz w:val="24"/>
          <w:szCs w:val="24"/>
          <w:lang w:val="en-US"/>
        </w:rPr>
        <w:t>NYHA</w:t>
      </w:r>
      <w:r w:rsidRPr="00E22DDB">
        <w:rPr>
          <w:rFonts w:ascii="Times New Roman" w:eastAsia="Times New Roman" w:hAnsi="Times New Roman" w:cs="Times New Roman"/>
          <w:sz w:val="24"/>
          <w:szCs w:val="24"/>
        </w:rPr>
        <w:t xml:space="preserve"> (исследование 301) или сердечной недостаточностью функционального класса </w:t>
      </w:r>
      <w:r w:rsidRPr="00E22DDB">
        <w:rPr>
          <w:rFonts w:ascii="Times New Roman" w:eastAsia="Times New Roman" w:hAnsi="Times New Roman" w:cs="Times New Roman"/>
          <w:sz w:val="24"/>
          <w:szCs w:val="24"/>
          <w:lang w:val="en-US"/>
        </w:rPr>
        <w:t>II</w:t>
      </w:r>
      <w:r w:rsidRPr="00E22DDB">
        <w:rPr>
          <w:rFonts w:ascii="Times New Roman" w:eastAsia="Times New Roman" w:hAnsi="Times New Roman" w:cs="Times New Roman"/>
          <w:sz w:val="24"/>
          <w:szCs w:val="24"/>
        </w:rPr>
        <w:t>-</w:t>
      </w:r>
      <w:r w:rsidRPr="00E22DDB">
        <w:rPr>
          <w:rFonts w:ascii="Times New Roman" w:eastAsia="Times New Roman" w:hAnsi="Times New Roman" w:cs="Times New Roman"/>
          <w:sz w:val="24"/>
          <w:szCs w:val="24"/>
          <w:lang w:val="en-US"/>
        </w:rPr>
        <w:t>IV</w:t>
      </w:r>
      <w:r w:rsidRPr="00E22DDB">
        <w:rPr>
          <w:rFonts w:ascii="Times New Roman" w:eastAsia="Times New Roman" w:hAnsi="Times New Roman" w:cs="Times New Roman"/>
          <w:sz w:val="24"/>
          <w:szCs w:val="24"/>
        </w:rPr>
        <w:t xml:space="preserve"> (исследования 3011 и 302) или фракцией серчечного выброса &lt;50%. Из исследований 3011 и 302 были исключены пациенты с фибрилляцией предсердий или другой сердечной аритмией, требующей </w:t>
      </w:r>
      <w:r w:rsidRPr="00E22DDB">
        <w:rPr>
          <w:rFonts w:ascii="Times New Roman" w:eastAsia="Times New Roman" w:hAnsi="Times New Roman" w:cs="Times New Roman"/>
          <w:kern w:val="1"/>
          <w:sz w:val="24"/>
          <w:szCs w:val="24"/>
          <w:lang w:eastAsia="ar-SA"/>
        </w:rPr>
        <w:t>медикаментозной терапии</w:t>
      </w:r>
      <w:r w:rsidRPr="00E22DDB">
        <w:rPr>
          <w:rFonts w:ascii="Times New Roman" w:eastAsia="Times New Roman" w:hAnsi="Times New Roman" w:cs="Times New Roman"/>
          <w:sz w:val="24"/>
          <w:szCs w:val="24"/>
        </w:rPr>
        <w:t xml:space="preserve">. </w:t>
      </w:r>
      <w:r w:rsidRPr="00E22DDB">
        <w:rPr>
          <w:rFonts w:ascii="Times New Roman" w:eastAsia="Times New Roman" w:hAnsi="Times New Roman" w:cs="Times New Roman"/>
          <w:kern w:val="1"/>
          <w:sz w:val="24"/>
          <w:szCs w:val="24"/>
          <w:lang w:eastAsia="ar-SA"/>
        </w:rPr>
        <w:t>Безопасность для пациентов с фракцией выброса левого желудочка &lt;50% или сердечной недостаточностью функционального класса III или IV по классификации NYHA (в исследовании 301) или сердечной недостаточностью функционального класса II-IV о классификации NYHA (в исследованиях 3011 и 302), не установлена</w:t>
      </w:r>
      <w:r w:rsidR="00C87B1D" w:rsidRPr="00E22DDB">
        <w:rPr>
          <w:rFonts w:ascii="Times New Roman" w:eastAsia="Times New Roman" w:hAnsi="Times New Roman" w:cs="Times New Roman"/>
          <w:kern w:val="1"/>
          <w:sz w:val="24"/>
          <w:szCs w:val="24"/>
          <w:lang w:eastAsia="ar-SA"/>
        </w:rPr>
        <w:t xml:space="preserve"> (см. раздел 4.8 и 5.1).</w:t>
      </w:r>
    </w:p>
    <w:p w14:paraId="09BA250D" w14:textId="258318A3" w:rsidR="005A53ED" w:rsidRPr="00E22DDB" w:rsidRDefault="005A53ED" w:rsidP="00701A32">
      <w:pPr>
        <w:widowControl w:val="0"/>
        <w:suppressAutoHyphens/>
        <w:spacing w:after="0" w:line="240" w:lineRule="auto"/>
        <w:jc w:val="both"/>
        <w:rPr>
          <w:rFonts w:ascii="Times New Roman" w:eastAsia="TimesNewRoman,Bold" w:hAnsi="Times New Roman" w:cs="Times New Roman"/>
          <w:bCs/>
          <w:kern w:val="1"/>
          <w:sz w:val="24"/>
          <w:szCs w:val="24"/>
          <w:lang w:eastAsia="ar-SA"/>
        </w:rPr>
      </w:pPr>
      <w:r w:rsidRPr="00E22DDB">
        <w:rPr>
          <w:rFonts w:ascii="Times New Roman" w:eastAsia="TimesNewRoman,Bold" w:hAnsi="Times New Roman" w:cs="Times New Roman"/>
          <w:bCs/>
          <w:kern w:val="1"/>
          <w:sz w:val="24"/>
          <w:szCs w:val="24"/>
          <w:lang w:eastAsia="ar-SA"/>
        </w:rPr>
        <w:t xml:space="preserve">До лечения пациентов со значимым риском застойной сердечной недостаточности (например, с наличием в анамнезе сердечной недостаточности, неконтролируемой гипертензии или ишемической болезни сердца) необходима оценка функции сердца (например, эхокардиография). До лечения препаратом Бидирон должно быть проведено </w:t>
      </w:r>
      <w:r w:rsidRPr="00E22DDB">
        <w:rPr>
          <w:rFonts w:ascii="Times New Roman" w:eastAsia="TimesNewRoman,Bold" w:hAnsi="Times New Roman" w:cs="Times New Roman"/>
          <w:bCs/>
          <w:kern w:val="1"/>
          <w:sz w:val="24"/>
          <w:szCs w:val="24"/>
          <w:lang w:eastAsia="ar-SA"/>
        </w:rPr>
        <w:lastRenderedPageBreak/>
        <w:t xml:space="preserve">лечение сердечной недостаточности и оптимизирована функция сердца. Гипертензия, гипокалиемия и задержка жидкости должны быть скорректированы, с дальнейшим контролем. Во время лечения следует осуществлять мониторинг артериального давления, уровня калия в сыворотке крови, задержки жидкости (прибавка массы тела, периферические отеки) и других признаков и симптомов застойной сердечной недостаточности </w:t>
      </w:r>
      <w:r w:rsidRPr="00E22DDB">
        <w:rPr>
          <w:rFonts w:ascii="Times New Roman" w:eastAsia="Times New Roman" w:hAnsi="Times New Roman" w:cs="Times New Roman"/>
          <w:kern w:val="1"/>
          <w:sz w:val="24"/>
          <w:szCs w:val="24"/>
          <w:lang w:eastAsia="ar-SA"/>
        </w:rPr>
        <w:t>каждые две недели в течение трех месяцев, а затем – ежемесячно</w:t>
      </w:r>
      <w:r w:rsidRPr="00E22DDB">
        <w:rPr>
          <w:rFonts w:ascii="Times New Roman" w:eastAsia="TimesNewRoman,Bold" w:hAnsi="Times New Roman" w:cs="Times New Roman"/>
          <w:bCs/>
          <w:kern w:val="1"/>
          <w:sz w:val="24"/>
          <w:szCs w:val="24"/>
          <w:lang w:eastAsia="ar-SA"/>
        </w:rPr>
        <w:t xml:space="preserve">, а отклонения от нормы должны быть скорректированы. Удлинение интервала </w:t>
      </w:r>
      <w:r w:rsidRPr="00E22DDB">
        <w:rPr>
          <w:rFonts w:ascii="Times New Roman" w:eastAsia="TimesNewRoman,Bold" w:hAnsi="Times New Roman" w:cs="Times New Roman"/>
          <w:bCs/>
          <w:kern w:val="1"/>
          <w:sz w:val="24"/>
          <w:szCs w:val="24"/>
          <w:lang w:val="en-US" w:eastAsia="ar-SA"/>
        </w:rPr>
        <w:t>QT</w:t>
      </w:r>
      <w:r w:rsidRPr="00E22DDB">
        <w:rPr>
          <w:rFonts w:ascii="Times New Roman" w:eastAsia="TimesNewRoman,Bold" w:hAnsi="Times New Roman" w:cs="Times New Roman"/>
          <w:bCs/>
          <w:kern w:val="1"/>
          <w:sz w:val="24"/>
          <w:szCs w:val="24"/>
          <w:lang w:eastAsia="ar-SA"/>
        </w:rPr>
        <w:t xml:space="preserve"> наблюдалось у пациентов, у которых лечение препаратом Бидирон сопровождалось гипокалиемией. Необходимо оценить функцию сердца в соответствии с клиническими показаниями, назначить надлежащее лечение и рассмотреть прекращение лечения препаратом Бидирон, если имеется клинически значимое ухудшение функции сердца</w:t>
      </w:r>
      <w:r w:rsidR="00C87B1D" w:rsidRPr="00E22DDB">
        <w:rPr>
          <w:rFonts w:ascii="Times New Roman" w:eastAsia="TimesNewRoman,Bold" w:hAnsi="Times New Roman" w:cs="Times New Roman"/>
          <w:bCs/>
          <w:kern w:val="1"/>
          <w:sz w:val="24"/>
          <w:szCs w:val="24"/>
          <w:lang w:eastAsia="ar-SA"/>
        </w:rPr>
        <w:t xml:space="preserve"> (см. раздел 4.2)</w:t>
      </w:r>
      <w:r w:rsidRPr="00E22DDB">
        <w:rPr>
          <w:rFonts w:ascii="Arial" w:eastAsia="TimesNewRoman,Bold" w:hAnsi="Arial" w:cs="Arial"/>
          <w:bCs/>
          <w:kern w:val="1"/>
          <w:sz w:val="24"/>
          <w:szCs w:val="24"/>
          <w:lang w:eastAsia="ar-SA"/>
        </w:rPr>
        <w:t xml:space="preserve">. </w:t>
      </w:r>
    </w:p>
    <w:p w14:paraId="452C115B" w14:textId="77777777" w:rsidR="005A53ED" w:rsidRPr="00E22DDB" w:rsidRDefault="005A53ED" w:rsidP="00701A32">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Гепатотоксичность и нарушения функции печени</w:t>
      </w:r>
    </w:p>
    <w:p w14:paraId="46A29B49" w14:textId="5CAA152A" w:rsidR="005A53ED" w:rsidRPr="00E22DDB" w:rsidRDefault="00381F34" w:rsidP="00701A3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Отмечалось значимое повышение уровня печеночных ферментов, которое приводило к прекращению лечения или коррекции дозы. Перед началом лечения следует оценить уровень трансаминаз в сыворотке крови, этот же анализ следует выполнять каждые две недели в течение первых трёх месяцев лечения и в дальнейшем ежемесячно. </w:t>
      </w:r>
      <w:r w:rsidR="005A53ED" w:rsidRPr="00E22DDB">
        <w:rPr>
          <w:rFonts w:ascii="Times New Roman" w:eastAsia="Times New Roman" w:hAnsi="Times New Roman" w:cs="Times New Roman"/>
          <w:sz w:val="24"/>
          <w:szCs w:val="24"/>
        </w:rPr>
        <w:t xml:space="preserve">При появлении клинических симптомов или признаков гепатотоксичности, следует незамедлительно измерить уровни трансаминаз в сыворотке крови. </w:t>
      </w:r>
      <w:bookmarkStart w:id="0" w:name="_Hlk500887485"/>
      <w:r w:rsidR="005A53ED" w:rsidRPr="00E22DDB">
        <w:rPr>
          <w:rFonts w:ascii="Times New Roman" w:eastAsia="Times New Roman" w:hAnsi="Times New Roman" w:cs="Times New Roman"/>
          <w:sz w:val="24"/>
          <w:szCs w:val="24"/>
        </w:rPr>
        <w:t xml:space="preserve">Если на любом этапе лечения, </w:t>
      </w:r>
      <w:bookmarkEnd w:id="0"/>
      <w:r w:rsidR="005A53ED" w:rsidRPr="00E22DDB">
        <w:rPr>
          <w:rFonts w:ascii="Times New Roman" w:eastAsia="Times New Roman" w:hAnsi="Times New Roman" w:cs="Times New Roman"/>
          <w:sz w:val="24"/>
          <w:szCs w:val="24"/>
        </w:rPr>
        <w:t xml:space="preserve">уровни АЛТ или АСТ </w:t>
      </w:r>
      <w:bookmarkStart w:id="1" w:name="_Hlk500887510"/>
      <w:r w:rsidR="005A53ED" w:rsidRPr="00E22DDB">
        <w:rPr>
          <w:rFonts w:ascii="Times New Roman" w:eastAsia="Times New Roman" w:hAnsi="Times New Roman" w:cs="Times New Roman"/>
          <w:sz w:val="24"/>
          <w:szCs w:val="24"/>
        </w:rPr>
        <w:t xml:space="preserve">повышаются до значений </w:t>
      </w:r>
      <w:bookmarkEnd w:id="1"/>
      <w:r w:rsidR="005A53ED" w:rsidRPr="00E22DDB">
        <w:rPr>
          <w:rFonts w:ascii="Times New Roman" w:eastAsia="Times New Roman" w:hAnsi="Times New Roman" w:cs="Times New Roman"/>
          <w:sz w:val="24"/>
          <w:szCs w:val="24"/>
        </w:rPr>
        <w:t xml:space="preserve">5-кратно превышающих верхнюю границу нормы, следует </w:t>
      </w:r>
      <w:bookmarkStart w:id="2" w:name="_Hlk500887562"/>
      <w:r w:rsidR="005A53ED" w:rsidRPr="00E22DDB">
        <w:rPr>
          <w:rFonts w:ascii="Times New Roman" w:eastAsia="Times New Roman" w:hAnsi="Times New Roman" w:cs="Times New Roman"/>
          <w:sz w:val="24"/>
          <w:szCs w:val="24"/>
        </w:rPr>
        <w:t>незамедлительно</w:t>
      </w:r>
      <w:bookmarkEnd w:id="2"/>
      <w:r w:rsidR="005A53ED" w:rsidRPr="00E22DDB">
        <w:rPr>
          <w:rFonts w:ascii="Times New Roman" w:eastAsia="Times New Roman" w:hAnsi="Times New Roman" w:cs="Times New Roman"/>
          <w:sz w:val="24"/>
          <w:szCs w:val="24"/>
        </w:rPr>
        <w:t xml:space="preserve"> прекратить терапию и тщательно контролировать функцию печени. </w:t>
      </w:r>
      <w:bookmarkStart w:id="3" w:name="_Hlk500887598"/>
      <w:r w:rsidR="005A53ED" w:rsidRPr="00E22DDB">
        <w:rPr>
          <w:rFonts w:ascii="Times New Roman" w:eastAsia="Times New Roman" w:hAnsi="Times New Roman" w:cs="Times New Roman"/>
          <w:sz w:val="24"/>
          <w:szCs w:val="24"/>
        </w:rPr>
        <w:t xml:space="preserve">Возобновление терапии допустимо </w:t>
      </w:r>
      <w:bookmarkEnd w:id="3"/>
      <w:r w:rsidR="005A53ED" w:rsidRPr="00E22DDB">
        <w:rPr>
          <w:rFonts w:ascii="Times New Roman" w:eastAsia="Times New Roman" w:hAnsi="Times New Roman" w:cs="Times New Roman"/>
          <w:sz w:val="24"/>
          <w:szCs w:val="24"/>
        </w:rPr>
        <w:t xml:space="preserve">только после </w:t>
      </w:r>
      <w:bookmarkStart w:id="4" w:name="_Hlk500887616"/>
      <w:r w:rsidR="005A53ED" w:rsidRPr="00E22DDB">
        <w:rPr>
          <w:rFonts w:ascii="Times New Roman" w:eastAsia="Times New Roman" w:hAnsi="Times New Roman" w:cs="Times New Roman"/>
          <w:sz w:val="24"/>
          <w:szCs w:val="24"/>
        </w:rPr>
        <w:t>восстановления</w:t>
      </w:r>
      <w:bookmarkEnd w:id="4"/>
      <w:r w:rsidR="005A53ED" w:rsidRPr="00E22DDB">
        <w:rPr>
          <w:rFonts w:ascii="Times New Roman" w:eastAsia="Times New Roman" w:hAnsi="Times New Roman" w:cs="Times New Roman"/>
          <w:sz w:val="24"/>
          <w:szCs w:val="24"/>
        </w:rPr>
        <w:t xml:space="preserve"> функциональных проб печени </w:t>
      </w:r>
      <w:bookmarkStart w:id="5" w:name="_Hlk500887662"/>
      <w:r w:rsidR="005A53ED" w:rsidRPr="00E22DDB">
        <w:rPr>
          <w:rFonts w:ascii="Times New Roman" w:eastAsia="Times New Roman" w:hAnsi="Times New Roman" w:cs="Times New Roman"/>
          <w:sz w:val="24"/>
          <w:szCs w:val="24"/>
        </w:rPr>
        <w:t>до исходных значений пациента и</w:t>
      </w:r>
      <w:bookmarkEnd w:id="5"/>
      <w:r w:rsidR="005A53ED" w:rsidRPr="00E22DDB">
        <w:rPr>
          <w:rFonts w:ascii="Times New Roman" w:eastAsia="Times New Roman" w:hAnsi="Times New Roman" w:cs="Times New Roman"/>
          <w:sz w:val="24"/>
          <w:szCs w:val="24"/>
        </w:rPr>
        <w:t xml:space="preserve"> с применением сниженной дозы</w:t>
      </w:r>
      <w:r w:rsidR="00DC7224" w:rsidRPr="00E22DDB">
        <w:rPr>
          <w:rFonts w:ascii="Times New Roman" w:eastAsia="Times New Roman" w:hAnsi="Times New Roman" w:cs="Times New Roman"/>
          <w:sz w:val="24"/>
          <w:szCs w:val="24"/>
        </w:rPr>
        <w:t xml:space="preserve"> (см. раздел 4.2)</w:t>
      </w:r>
      <w:r w:rsidR="005A53ED" w:rsidRPr="00E22DDB">
        <w:rPr>
          <w:rFonts w:ascii="Times New Roman" w:eastAsia="Times New Roman" w:hAnsi="Times New Roman" w:cs="Times New Roman"/>
          <w:sz w:val="24"/>
          <w:szCs w:val="24"/>
        </w:rPr>
        <w:t>.</w:t>
      </w:r>
    </w:p>
    <w:p w14:paraId="672C2771" w14:textId="77777777" w:rsidR="005A53ED" w:rsidRPr="00E22DDB" w:rsidRDefault="005A53ED" w:rsidP="00701A3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В случае, если у пациента на любом этапе лечения развивается тяжёлая гепатотоксичность (уровни АЛТ или АСТ в 20 раз превышают верхнюю границу нормы), следует прекратить лечение и не подвергать данного пациента терапии повторной терапии.  </w:t>
      </w:r>
    </w:p>
    <w:p w14:paraId="23F217C8" w14:textId="77777777" w:rsidR="005A53ED" w:rsidRPr="00E22DDB" w:rsidRDefault="005A53ED" w:rsidP="00701A3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Данные об использовании препарат Бидирон у пациентов с активным или симптоматическим вирусным гепатитом отсутствуют.</w:t>
      </w:r>
    </w:p>
    <w:p w14:paraId="1987258E" w14:textId="7AAD527E" w:rsidR="005A53ED" w:rsidRPr="00E22DDB" w:rsidRDefault="005A53ED" w:rsidP="00701A32">
      <w:pPr>
        <w:autoSpaceDE w:val="0"/>
        <w:autoSpaceDN w:val="0"/>
        <w:adjustRightInd w:val="0"/>
        <w:spacing w:after="0" w:line="240" w:lineRule="auto"/>
        <w:jc w:val="both"/>
        <w:rPr>
          <w:rFonts w:ascii="Times New Roman" w:eastAsia="TimesNewRoman,Bold" w:hAnsi="Times New Roman" w:cs="Times New Roman"/>
          <w:bCs/>
          <w:sz w:val="24"/>
          <w:szCs w:val="24"/>
        </w:rPr>
      </w:pPr>
      <w:r w:rsidRPr="00E22DDB">
        <w:rPr>
          <w:rFonts w:ascii="Times New Roman" w:eastAsia="TimesNewRoman,Bold" w:hAnsi="Times New Roman" w:cs="Times New Roman"/>
          <w:bCs/>
          <w:sz w:val="24"/>
          <w:szCs w:val="24"/>
        </w:rPr>
        <w:t>Отсутствуют данные о клинической безопасности и эффективности многократных доз абиратерона ацетата при их назначении пациентам с умеренным или тяжелым нарушением функции печени (класс В или С согласно классификации по Чайлд-Пью). Применение препарата Бидирон должно тщательно оцениваться у пациентов с умеренным нарушением функции печени, для которых польза должна однозначно превосходить возможный риск</w:t>
      </w:r>
      <w:r w:rsidR="00DC7224" w:rsidRPr="00E22DDB">
        <w:rPr>
          <w:rFonts w:ascii="Times New Roman" w:eastAsia="TimesNewRoman,Bold" w:hAnsi="Times New Roman" w:cs="Times New Roman"/>
          <w:bCs/>
          <w:sz w:val="24"/>
          <w:szCs w:val="24"/>
        </w:rPr>
        <w:t xml:space="preserve"> (см. раздел 4.2 и 5.2)</w:t>
      </w:r>
      <w:r w:rsidRPr="00E22DDB">
        <w:rPr>
          <w:rFonts w:ascii="Times New Roman" w:eastAsia="TimesNewRoman,Bold" w:hAnsi="Times New Roman" w:cs="Times New Roman"/>
          <w:bCs/>
          <w:sz w:val="24"/>
          <w:szCs w:val="24"/>
        </w:rPr>
        <w:t>. Препарат Бидирон не должен использоваться у пациентов с тяжелым нарушением функции печени</w:t>
      </w:r>
      <w:r w:rsidR="00DC7224" w:rsidRPr="00E22DDB">
        <w:rPr>
          <w:rFonts w:ascii="Times New Roman" w:eastAsia="TimesNewRoman,Bold" w:hAnsi="Times New Roman" w:cs="Times New Roman"/>
          <w:bCs/>
          <w:sz w:val="24"/>
          <w:szCs w:val="24"/>
        </w:rPr>
        <w:t xml:space="preserve"> (см. раздел 4.2, 4.3 и 5.2).</w:t>
      </w:r>
      <w:r w:rsidRPr="00E22DDB">
        <w:rPr>
          <w:rFonts w:ascii="Times New Roman" w:eastAsia="TimesNewRoman,Bold" w:hAnsi="Times New Roman" w:cs="Times New Roman"/>
          <w:bCs/>
          <w:sz w:val="24"/>
          <w:szCs w:val="24"/>
        </w:rPr>
        <w:t xml:space="preserve"> </w:t>
      </w:r>
    </w:p>
    <w:p w14:paraId="70B88084" w14:textId="24EBD17E" w:rsidR="005A53ED" w:rsidRPr="00E22DDB" w:rsidRDefault="005A53ED" w:rsidP="00701A32">
      <w:pPr>
        <w:autoSpaceDE w:val="0"/>
        <w:autoSpaceDN w:val="0"/>
        <w:adjustRightInd w:val="0"/>
        <w:spacing w:after="0" w:line="240" w:lineRule="auto"/>
        <w:jc w:val="both"/>
        <w:rPr>
          <w:rFonts w:ascii="Times New Roman" w:eastAsia="TimesNewRoman,Bold" w:hAnsi="Times New Roman" w:cs="Times New Roman"/>
          <w:bCs/>
          <w:sz w:val="24"/>
          <w:szCs w:val="24"/>
        </w:rPr>
      </w:pPr>
      <w:r w:rsidRPr="00E22DDB">
        <w:rPr>
          <w:rFonts w:ascii="Times New Roman" w:eastAsia="TimesNewRoman,Bold" w:hAnsi="Times New Roman" w:cs="Times New Roman"/>
          <w:bCs/>
          <w:sz w:val="24"/>
          <w:szCs w:val="24"/>
        </w:rPr>
        <w:t>При постмаркетинговом применении препарата отмечались редкие случаи острой печеночной недостаточности и фульминантного гепатита, некоторые с летальным исходом</w:t>
      </w:r>
      <w:r w:rsidR="00C0427E" w:rsidRPr="00E22DDB">
        <w:rPr>
          <w:rFonts w:ascii="Times New Roman" w:eastAsia="TimesNewRoman,Bold" w:hAnsi="Times New Roman" w:cs="Times New Roman"/>
          <w:bCs/>
          <w:sz w:val="24"/>
          <w:szCs w:val="24"/>
        </w:rPr>
        <w:t xml:space="preserve"> (см. раздел 4.8)</w:t>
      </w:r>
      <w:r w:rsidRPr="00E22DDB">
        <w:rPr>
          <w:rFonts w:ascii="Times New Roman" w:eastAsia="TimesNewRoman,Bold" w:hAnsi="Times New Roman" w:cs="Times New Roman"/>
          <w:bCs/>
          <w:sz w:val="24"/>
          <w:szCs w:val="24"/>
        </w:rPr>
        <w:t>.</w:t>
      </w:r>
    </w:p>
    <w:p w14:paraId="7127302D" w14:textId="77777777" w:rsidR="005A53ED" w:rsidRPr="00E22DDB" w:rsidRDefault="005A53ED" w:rsidP="00701A32">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Отмена глюкокортикостероидов и купирование стрессовых ситуаций</w:t>
      </w:r>
    </w:p>
    <w:p w14:paraId="077021AB" w14:textId="77777777" w:rsidR="005A53ED" w:rsidRPr="00E22DDB" w:rsidRDefault="005A53ED" w:rsidP="00701A32">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При отмене преднизона или преднизолона следует проявлять осторожность и контролировать признаки недостаточности функции коры надпочечников. Если применение препарата Бидирон продолжается после отмены глюкокортикостероидов, </w:t>
      </w:r>
      <w:bookmarkStart w:id="6" w:name="_Hlk500888061"/>
      <w:r w:rsidRPr="00E22DDB">
        <w:rPr>
          <w:rFonts w:ascii="Times New Roman" w:eastAsia="Times New Roman" w:hAnsi="Times New Roman" w:cs="Times New Roman"/>
          <w:sz w:val="24"/>
          <w:szCs w:val="24"/>
        </w:rPr>
        <w:t>пациенты должны наблюдаться на наличие</w:t>
      </w:r>
      <w:bookmarkEnd w:id="6"/>
      <w:r w:rsidRPr="00E22DDB">
        <w:rPr>
          <w:rFonts w:ascii="Times New Roman" w:eastAsia="Times New Roman" w:hAnsi="Times New Roman" w:cs="Times New Roman"/>
          <w:sz w:val="24"/>
          <w:szCs w:val="24"/>
        </w:rPr>
        <w:t xml:space="preserve"> симптомов избытка минералокортикоидов. Пациентам, получающим преднизон или преднизолон, </w:t>
      </w:r>
      <w:bookmarkStart w:id="7" w:name="_Hlk500888134"/>
      <w:r w:rsidRPr="00E22DDB">
        <w:rPr>
          <w:rFonts w:ascii="Times New Roman" w:eastAsia="Times New Roman" w:hAnsi="Times New Roman" w:cs="Times New Roman"/>
          <w:sz w:val="24"/>
          <w:szCs w:val="24"/>
        </w:rPr>
        <w:t>находившимся под влиянием непривычных</w:t>
      </w:r>
      <w:bookmarkEnd w:id="7"/>
      <w:r w:rsidRPr="00E22DDB">
        <w:rPr>
          <w:rFonts w:ascii="Times New Roman" w:eastAsia="Times New Roman" w:hAnsi="Times New Roman" w:cs="Times New Roman"/>
          <w:sz w:val="24"/>
          <w:szCs w:val="24"/>
        </w:rPr>
        <w:t xml:space="preserve"> стрессовых ситуаций может потребоваться повышенная доза глюкокортикостероидов перед, во время и после стрессовой ситуации. </w:t>
      </w:r>
    </w:p>
    <w:p w14:paraId="73C83F36" w14:textId="77777777" w:rsidR="005A53ED" w:rsidRPr="00E22DDB" w:rsidRDefault="005A53ED" w:rsidP="00701A32">
      <w:pPr>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Плотность костной ткани</w:t>
      </w:r>
    </w:p>
    <w:p w14:paraId="642DED41" w14:textId="77777777" w:rsidR="005A53ED" w:rsidRPr="00E22DDB" w:rsidRDefault="005A53ED" w:rsidP="00701A3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Снижение плотности костной ткани может иметь место у мужчин с метастатическим </w:t>
      </w:r>
      <w:bookmarkStart w:id="8" w:name="_Hlk500888217"/>
      <w:r w:rsidRPr="00E22DDB">
        <w:rPr>
          <w:rFonts w:ascii="Times New Roman" w:eastAsia="Times New Roman" w:hAnsi="Times New Roman" w:cs="Times New Roman"/>
          <w:sz w:val="24"/>
          <w:szCs w:val="24"/>
        </w:rPr>
        <w:t>прогрессирующим</w:t>
      </w:r>
      <w:bookmarkEnd w:id="8"/>
      <w:r w:rsidRPr="00E22DDB">
        <w:rPr>
          <w:rFonts w:ascii="Times New Roman" w:eastAsia="Times New Roman" w:hAnsi="Times New Roman" w:cs="Times New Roman"/>
          <w:sz w:val="24"/>
          <w:szCs w:val="24"/>
        </w:rPr>
        <w:t xml:space="preserve"> раком предстательной железы. Данный эффект может усиливаться при использовании препарата Бидирон в сочетании с глюкокортикоидами.</w:t>
      </w:r>
    </w:p>
    <w:p w14:paraId="50F3D385" w14:textId="77777777" w:rsidR="005A53ED" w:rsidRPr="00E22DDB" w:rsidRDefault="005A53ED" w:rsidP="00701A32">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Использование кетоконазола в анамнезе</w:t>
      </w:r>
    </w:p>
    <w:p w14:paraId="3506674A" w14:textId="77777777" w:rsidR="005A53ED" w:rsidRPr="00E22DDB" w:rsidRDefault="005A53ED" w:rsidP="00701A3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lastRenderedPageBreak/>
        <w:t xml:space="preserve">У пациентов, которые ранее получали кетоконазол в рамках лечения рака предстательной железы, </w:t>
      </w:r>
      <w:bookmarkStart w:id="9" w:name="_Hlk500888255"/>
      <w:r w:rsidRPr="00E22DDB">
        <w:rPr>
          <w:rFonts w:ascii="Times New Roman" w:eastAsia="Times New Roman" w:hAnsi="Times New Roman" w:cs="Times New Roman"/>
          <w:sz w:val="24"/>
          <w:szCs w:val="24"/>
        </w:rPr>
        <w:t xml:space="preserve">может наблюдаться </w:t>
      </w:r>
      <w:bookmarkEnd w:id="9"/>
      <w:r w:rsidRPr="00E22DDB">
        <w:rPr>
          <w:rFonts w:ascii="Times New Roman" w:eastAsia="Times New Roman" w:hAnsi="Times New Roman" w:cs="Times New Roman"/>
          <w:sz w:val="24"/>
          <w:szCs w:val="24"/>
        </w:rPr>
        <w:t>низкий уровень клинического ответа.</w:t>
      </w:r>
    </w:p>
    <w:p w14:paraId="51B550C8" w14:textId="77777777" w:rsidR="005A53ED" w:rsidRPr="00E22DDB" w:rsidRDefault="005A53ED" w:rsidP="00701A32">
      <w:pPr>
        <w:autoSpaceDE w:val="0"/>
        <w:autoSpaceDN w:val="0"/>
        <w:adjustRightInd w:val="0"/>
        <w:spacing w:after="0" w:line="240" w:lineRule="auto"/>
        <w:rPr>
          <w:rFonts w:ascii="Times New Roman" w:eastAsia="TimesNewRoman" w:hAnsi="Times New Roman" w:cs="Times New Roman"/>
          <w:i/>
          <w:sz w:val="24"/>
          <w:szCs w:val="24"/>
        </w:rPr>
      </w:pPr>
      <w:r w:rsidRPr="00E22DDB">
        <w:rPr>
          <w:rFonts w:ascii="Times New Roman" w:eastAsia="TimesNewRoman" w:hAnsi="Times New Roman" w:cs="Times New Roman"/>
          <w:i/>
          <w:sz w:val="24"/>
          <w:szCs w:val="24"/>
        </w:rPr>
        <w:t>Гипергликемия</w:t>
      </w:r>
    </w:p>
    <w:p w14:paraId="33E8ECC3" w14:textId="77777777" w:rsidR="005A53ED" w:rsidRPr="00E22DDB" w:rsidRDefault="005A53ED" w:rsidP="00701A32">
      <w:pPr>
        <w:autoSpaceDE w:val="0"/>
        <w:autoSpaceDN w:val="0"/>
        <w:adjustRightInd w:val="0"/>
        <w:spacing w:after="0" w:line="240" w:lineRule="auto"/>
        <w:jc w:val="both"/>
        <w:rPr>
          <w:rFonts w:ascii="Times New Roman" w:eastAsia="TimesNewRoman" w:hAnsi="Times New Roman" w:cs="Times New Roman"/>
          <w:sz w:val="24"/>
          <w:szCs w:val="24"/>
        </w:rPr>
      </w:pPr>
      <w:r w:rsidRPr="00E22DDB">
        <w:rPr>
          <w:rFonts w:ascii="Times New Roman" w:eastAsia="TimesNewRoman" w:hAnsi="Times New Roman" w:cs="Times New Roman"/>
          <w:sz w:val="24"/>
          <w:szCs w:val="24"/>
        </w:rPr>
        <w:t xml:space="preserve">Использование глюкокортикоидов может усилить гипергликемию, </w:t>
      </w:r>
      <w:bookmarkStart w:id="10" w:name="_Hlk500888348"/>
      <w:r w:rsidRPr="00E22DDB">
        <w:rPr>
          <w:rFonts w:ascii="Times New Roman" w:eastAsia="TimesNewRoman" w:hAnsi="Times New Roman" w:cs="Times New Roman"/>
          <w:sz w:val="24"/>
          <w:szCs w:val="24"/>
        </w:rPr>
        <w:t>по этой причине</w:t>
      </w:r>
      <w:bookmarkEnd w:id="10"/>
      <w:r w:rsidRPr="00E22DDB">
        <w:rPr>
          <w:rFonts w:ascii="Times New Roman" w:eastAsia="TimesNewRoman" w:hAnsi="Times New Roman" w:cs="Times New Roman"/>
          <w:sz w:val="24"/>
          <w:szCs w:val="24"/>
        </w:rPr>
        <w:t>, у пациентов с сахарным диабетом следует более часто измерять уровень глюкозы крови.</w:t>
      </w:r>
    </w:p>
    <w:p w14:paraId="09CFC218" w14:textId="77777777" w:rsidR="000B4BFA" w:rsidRPr="00E22DDB" w:rsidRDefault="000B4BFA" w:rsidP="000B4BFA">
      <w:pPr>
        <w:pStyle w:val="af8"/>
        <w:spacing w:before="0" w:beforeAutospacing="0" w:after="0" w:afterAutospacing="0"/>
        <w:rPr>
          <w:i/>
        </w:rPr>
      </w:pPr>
      <w:r w:rsidRPr="00E22DDB">
        <w:rPr>
          <w:rStyle w:val="af9"/>
          <w:b w:val="0"/>
          <w:i/>
        </w:rPr>
        <w:t>Гипогликемия</w:t>
      </w:r>
    </w:p>
    <w:p w14:paraId="0255D09D" w14:textId="77777777" w:rsidR="000B4BFA" w:rsidRPr="00E22DDB" w:rsidRDefault="000B4BFA" w:rsidP="000B4BFA">
      <w:pPr>
        <w:pStyle w:val="af8"/>
        <w:spacing w:before="0" w:beforeAutospacing="0" w:after="0" w:afterAutospacing="0"/>
        <w:jc w:val="both"/>
      </w:pPr>
      <w:r w:rsidRPr="00E22DDB">
        <w:t>Были получены сообщения о случаях гипогликемии, когда абиратерон применялся у пациентов с сахарным диабетом в анамнезе, получавших пиоглитазон или репаглинид, поэтому сахар крови необходимо часто измерять у пациентов с диабетом.</w:t>
      </w:r>
    </w:p>
    <w:p w14:paraId="3130CBDC" w14:textId="77777777" w:rsidR="005A53ED" w:rsidRPr="00E22DDB" w:rsidRDefault="005A53ED" w:rsidP="00701A32">
      <w:pPr>
        <w:autoSpaceDE w:val="0"/>
        <w:autoSpaceDN w:val="0"/>
        <w:adjustRightInd w:val="0"/>
        <w:spacing w:after="0" w:line="240" w:lineRule="auto"/>
        <w:jc w:val="both"/>
        <w:rPr>
          <w:rFonts w:ascii="Times New Roman" w:eastAsia="TimesNewRoman" w:hAnsi="Times New Roman" w:cs="Times New Roman"/>
          <w:i/>
          <w:sz w:val="24"/>
          <w:szCs w:val="24"/>
        </w:rPr>
      </w:pPr>
      <w:r w:rsidRPr="00E22DDB">
        <w:rPr>
          <w:rFonts w:ascii="Times New Roman" w:eastAsia="TimesNewRoman" w:hAnsi="Times New Roman" w:cs="Times New Roman"/>
          <w:i/>
          <w:sz w:val="24"/>
          <w:szCs w:val="24"/>
        </w:rPr>
        <w:t>Использование совместно с химиотерапией</w:t>
      </w:r>
    </w:p>
    <w:p w14:paraId="380992F0" w14:textId="0F52FDCD" w:rsidR="005A53ED" w:rsidRPr="00E22DDB" w:rsidRDefault="005A53ED" w:rsidP="00701A32">
      <w:pPr>
        <w:autoSpaceDE w:val="0"/>
        <w:autoSpaceDN w:val="0"/>
        <w:adjustRightInd w:val="0"/>
        <w:spacing w:after="0" w:line="240" w:lineRule="auto"/>
        <w:jc w:val="both"/>
        <w:rPr>
          <w:rFonts w:ascii="Times New Roman" w:eastAsia="TimesNewRoman" w:hAnsi="Times New Roman" w:cs="Times New Roman"/>
          <w:sz w:val="24"/>
          <w:szCs w:val="24"/>
        </w:rPr>
      </w:pPr>
      <w:r w:rsidRPr="00E22DDB">
        <w:rPr>
          <w:rFonts w:ascii="Times New Roman" w:eastAsia="TimesNewRoman" w:hAnsi="Times New Roman" w:cs="Times New Roman"/>
          <w:sz w:val="24"/>
          <w:szCs w:val="24"/>
        </w:rPr>
        <w:t>Безопасность и эффективность сочетанного применения препарата Бидирон</w:t>
      </w:r>
      <w:r w:rsidRPr="00E22DDB">
        <w:rPr>
          <w:rFonts w:ascii="Times New Roman" w:eastAsia="Times New Roman" w:hAnsi="Times New Roman" w:cs="Times New Roman"/>
          <w:sz w:val="24"/>
          <w:szCs w:val="24"/>
          <w:vertAlign w:val="superscript"/>
        </w:rPr>
        <w:t xml:space="preserve"> </w:t>
      </w:r>
      <w:r w:rsidRPr="00E22DDB">
        <w:rPr>
          <w:rFonts w:ascii="Times New Roman" w:eastAsia="TimesNewRoman" w:hAnsi="Times New Roman" w:cs="Times New Roman"/>
          <w:sz w:val="24"/>
          <w:szCs w:val="24"/>
        </w:rPr>
        <w:t xml:space="preserve"> с цитотоксической химиотерапией не установлена</w:t>
      </w:r>
      <w:r w:rsidR="00F25726" w:rsidRPr="00E22DDB">
        <w:rPr>
          <w:rFonts w:ascii="Times New Roman" w:eastAsia="TimesNewRoman" w:hAnsi="Times New Roman" w:cs="Times New Roman"/>
          <w:sz w:val="24"/>
          <w:szCs w:val="24"/>
        </w:rPr>
        <w:t xml:space="preserve"> (см. раздел 5.1)</w:t>
      </w:r>
      <w:r w:rsidRPr="00E22DDB">
        <w:rPr>
          <w:rFonts w:ascii="Times New Roman" w:eastAsia="TimesNewRoman" w:hAnsi="Times New Roman" w:cs="Times New Roman"/>
          <w:sz w:val="24"/>
          <w:szCs w:val="24"/>
        </w:rPr>
        <w:t>.</w:t>
      </w:r>
    </w:p>
    <w:p w14:paraId="6256CDC3" w14:textId="77777777" w:rsidR="005A53ED" w:rsidRPr="00E22DDB" w:rsidRDefault="005A53ED" w:rsidP="00701A32">
      <w:pPr>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Непереносимость вспомогательных средств</w:t>
      </w:r>
    </w:p>
    <w:p w14:paraId="3720A41B" w14:textId="07C356C6" w:rsidR="005A53ED" w:rsidRPr="00E22DDB" w:rsidRDefault="005A53ED" w:rsidP="00701A32">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Данное лекарственное средство содержит лактозу. Пациенты с редкими наследственными нарушениями, связанными с непереносимостью галактозы, лактазной недостаточностью или синдромом мальабсорбции глюкозы и галактозы не должны принимать данный препарат. </w:t>
      </w:r>
      <w:r w:rsidR="00381F34" w:rsidRPr="00E22DDB">
        <w:rPr>
          <w:rFonts w:ascii="Times New Roman" w:eastAsia="Times New Roman" w:hAnsi="Times New Roman" w:cs="Times New Roman"/>
          <w:sz w:val="24"/>
          <w:szCs w:val="24"/>
        </w:rPr>
        <w:t>Данное лекарственное средство также содержит вспомогательное вещество натрий. Это следует учитывать у тех пациентов, которые придерживаются диеты с низким содержанием натрия.</w:t>
      </w:r>
    </w:p>
    <w:p w14:paraId="7A4479B8" w14:textId="77777777" w:rsidR="005A53ED" w:rsidRPr="00E22DDB" w:rsidRDefault="005A53ED" w:rsidP="00701A32">
      <w:pPr>
        <w:autoSpaceDE w:val="0"/>
        <w:autoSpaceDN w:val="0"/>
        <w:adjustRightInd w:val="0"/>
        <w:spacing w:after="0" w:line="240" w:lineRule="auto"/>
        <w:rPr>
          <w:rFonts w:ascii="Times New Roman" w:eastAsia="TimesNewRoman" w:hAnsi="Times New Roman" w:cs="Times New Roman"/>
          <w:i/>
          <w:sz w:val="24"/>
          <w:szCs w:val="24"/>
        </w:rPr>
      </w:pPr>
      <w:r w:rsidRPr="00E22DDB">
        <w:rPr>
          <w:rFonts w:ascii="Times New Roman" w:eastAsia="TimesNewRoman" w:hAnsi="Times New Roman" w:cs="Times New Roman"/>
          <w:i/>
          <w:sz w:val="24"/>
          <w:szCs w:val="24"/>
        </w:rPr>
        <w:t>Потенциальные риски</w:t>
      </w:r>
    </w:p>
    <w:p w14:paraId="2FFE86D9" w14:textId="77777777" w:rsidR="005A53ED" w:rsidRPr="00E22DDB" w:rsidRDefault="005A53ED" w:rsidP="00701A32">
      <w:pPr>
        <w:autoSpaceDE w:val="0"/>
        <w:autoSpaceDN w:val="0"/>
        <w:adjustRightInd w:val="0"/>
        <w:spacing w:after="0" w:line="240" w:lineRule="auto"/>
        <w:jc w:val="both"/>
        <w:rPr>
          <w:rFonts w:ascii="Times New Roman" w:eastAsia="TimesNewRoman" w:hAnsi="Times New Roman" w:cs="Times New Roman"/>
          <w:sz w:val="24"/>
          <w:szCs w:val="24"/>
        </w:rPr>
      </w:pPr>
      <w:r w:rsidRPr="00E22DDB">
        <w:rPr>
          <w:rFonts w:ascii="Times New Roman" w:eastAsia="TimesNewRoman" w:hAnsi="Times New Roman" w:cs="Times New Roman"/>
          <w:sz w:val="24"/>
          <w:szCs w:val="24"/>
        </w:rPr>
        <w:t xml:space="preserve">У мужчин с метастатическим раком предстательной железы, включая пациентов, принимающих лечение препаратом </w:t>
      </w:r>
      <w:r w:rsidR="00AC0C10" w:rsidRPr="00E22DDB">
        <w:rPr>
          <w:rFonts w:ascii="Times New Roman" w:eastAsia="TimesNewRoman" w:hAnsi="Times New Roman" w:cs="Times New Roman"/>
          <w:sz w:val="24"/>
          <w:szCs w:val="24"/>
        </w:rPr>
        <w:t>Бидирон</w:t>
      </w:r>
      <w:r w:rsidRPr="00E22DDB">
        <w:rPr>
          <w:rFonts w:ascii="Times New Roman" w:eastAsia="TimesNewRoman" w:hAnsi="Times New Roman" w:cs="Times New Roman"/>
          <w:sz w:val="24"/>
          <w:szCs w:val="24"/>
        </w:rPr>
        <w:t xml:space="preserve">, возможно развитие анемии и сексуальной дисфункции. </w:t>
      </w:r>
    </w:p>
    <w:p w14:paraId="5288082D" w14:textId="77777777" w:rsidR="005A53ED" w:rsidRPr="00E22DDB" w:rsidRDefault="005A53ED" w:rsidP="00701A32">
      <w:pPr>
        <w:spacing w:after="0" w:line="240" w:lineRule="auto"/>
        <w:jc w:val="both"/>
        <w:textAlignment w:val="top"/>
        <w:rPr>
          <w:rFonts w:ascii="Times New Roman" w:eastAsia="Times New Roman" w:hAnsi="Times New Roman" w:cs="Times New Roman"/>
          <w:i/>
          <w:color w:val="222222"/>
          <w:sz w:val="24"/>
          <w:szCs w:val="24"/>
          <w:lang w:eastAsia="ru-RU"/>
        </w:rPr>
      </w:pPr>
      <w:r w:rsidRPr="00E22DDB">
        <w:rPr>
          <w:rFonts w:ascii="Times New Roman" w:eastAsia="Times New Roman" w:hAnsi="Times New Roman" w:cs="Times New Roman"/>
          <w:i/>
          <w:color w:val="222222"/>
          <w:sz w:val="24"/>
          <w:szCs w:val="24"/>
          <w:lang w:eastAsia="ru-RU"/>
        </w:rPr>
        <w:t>Эффекты на скелетно-мышечную систему</w:t>
      </w:r>
    </w:p>
    <w:p w14:paraId="47AE7BEA" w14:textId="77777777" w:rsidR="001D141C" w:rsidRPr="00E22DDB" w:rsidRDefault="001D141C" w:rsidP="00701A32">
      <w:pPr>
        <w:spacing w:after="0" w:line="240" w:lineRule="auto"/>
        <w:jc w:val="both"/>
        <w:textAlignment w:val="top"/>
        <w:rPr>
          <w:rFonts w:ascii="Times New Roman" w:eastAsia="Times New Roman" w:hAnsi="Times New Roman" w:cs="Times New Roman"/>
          <w:color w:val="222222"/>
          <w:sz w:val="24"/>
          <w:szCs w:val="24"/>
          <w:lang w:eastAsia="ru-RU"/>
        </w:rPr>
      </w:pPr>
      <w:r w:rsidRPr="00E22DDB">
        <w:rPr>
          <w:rFonts w:ascii="Times New Roman" w:eastAsia="Times New Roman" w:hAnsi="Times New Roman" w:cs="Times New Roman"/>
          <w:color w:val="222222"/>
          <w:sz w:val="24"/>
          <w:szCs w:val="24"/>
          <w:lang w:eastAsia="ru-RU"/>
        </w:rPr>
        <w:t>У пациентов, получавших препарат Бидирон, отмечались случаи миопатии и рабдомиолиза. В большинстве случаев данные эффекты развивались в течение первых 6 месяцев лечения и устранялись после прекращения применения препарата Бидирон. Рекомендуется соблюдать осторожность у пациентов, принимающих совместное лечение с лекарственными препаратами, способными вызывать миопатию/рабдомиолиз.</w:t>
      </w:r>
    </w:p>
    <w:p w14:paraId="0BD4AA7C" w14:textId="77777777" w:rsidR="005A53ED" w:rsidRPr="00E22DDB" w:rsidRDefault="005A53ED" w:rsidP="00701A32">
      <w:pPr>
        <w:spacing w:after="0" w:line="240" w:lineRule="auto"/>
        <w:jc w:val="both"/>
        <w:textAlignment w:val="top"/>
        <w:rPr>
          <w:rFonts w:ascii="Times New Roman" w:eastAsia="Times New Roman" w:hAnsi="Times New Roman" w:cs="Times New Roman"/>
          <w:color w:val="222222"/>
          <w:sz w:val="24"/>
          <w:szCs w:val="24"/>
          <w:u w:val="single"/>
          <w:lang w:eastAsia="ru-RU"/>
        </w:rPr>
      </w:pPr>
      <w:r w:rsidRPr="00E22DDB">
        <w:rPr>
          <w:rFonts w:ascii="Times New Roman" w:eastAsia="Times New Roman" w:hAnsi="Times New Roman" w:cs="Times New Roman"/>
          <w:i/>
          <w:color w:val="222222"/>
          <w:sz w:val="24"/>
          <w:szCs w:val="24"/>
          <w:lang w:eastAsia="ru-RU"/>
        </w:rPr>
        <w:t>Взаимодействие с другими лекарственными средствами</w:t>
      </w:r>
    </w:p>
    <w:p w14:paraId="789D0ECA" w14:textId="66CAB63E" w:rsidR="0022123A" w:rsidRPr="00E22DDB" w:rsidRDefault="005A53ED" w:rsidP="00701A32">
      <w:pPr>
        <w:spacing w:after="0" w:line="240" w:lineRule="auto"/>
        <w:jc w:val="both"/>
        <w:textAlignment w:val="top"/>
        <w:rPr>
          <w:rFonts w:ascii="Times New Roman" w:eastAsia="Times New Roman" w:hAnsi="Times New Roman" w:cs="Times New Roman"/>
          <w:color w:val="222222"/>
          <w:sz w:val="24"/>
          <w:szCs w:val="24"/>
          <w:lang w:eastAsia="ru-RU"/>
        </w:rPr>
      </w:pPr>
      <w:r w:rsidRPr="00E22DDB">
        <w:rPr>
          <w:rFonts w:ascii="Times New Roman" w:eastAsia="Times New Roman" w:hAnsi="Times New Roman" w:cs="Times New Roman"/>
          <w:color w:val="222222"/>
          <w:sz w:val="24"/>
          <w:szCs w:val="24"/>
          <w:lang w:eastAsia="ru-RU"/>
        </w:rPr>
        <w:t xml:space="preserve">По причине  риска снижения терапевтического эффекта, </w:t>
      </w:r>
      <w:bookmarkStart w:id="11" w:name="_Hlk500888590"/>
      <w:r w:rsidRPr="00E22DDB">
        <w:rPr>
          <w:rFonts w:ascii="Times New Roman" w:eastAsia="Times New Roman" w:hAnsi="Times New Roman" w:cs="Times New Roman"/>
          <w:color w:val="222222"/>
          <w:sz w:val="24"/>
          <w:szCs w:val="24"/>
          <w:lang w:eastAsia="ru-RU"/>
        </w:rPr>
        <w:t xml:space="preserve">следует избегать применения сильных индукторов </w:t>
      </w:r>
      <w:r w:rsidRPr="00E22DDB">
        <w:rPr>
          <w:rFonts w:ascii="Times New Roman" w:eastAsia="Times New Roman" w:hAnsi="Times New Roman" w:cs="Times New Roman"/>
          <w:color w:val="222222"/>
          <w:sz w:val="24"/>
          <w:szCs w:val="24"/>
          <w:lang w:val="en-US" w:eastAsia="ru-RU"/>
        </w:rPr>
        <w:t>CYP</w:t>
      </w:r>
      <w:r w:rsidRPr="00E22DDB">
        <w:rPr>
          <w:rFonts w:ascii="Times New Roman" w:eastAsia="Times New Roman" w:hAnsi="Times New Roman" w:cs="Times New Roman"/>
          <w:color w:val="222222"/>
          <w:sz w:val="24"/>
          <w:szCs w:val="24"/>
          <w:lang w:eastAsia="ru-RU"/>
        </w:rPr>
        <w:t>3</w:t>
      </w:r>
      <w:r w:rsidRPr="00E22DDB">
        <w:rPr>
          <w:rFonts w:ascii="Times New Roman" w:eastAsia="Times New Roman" w:hAnsi="Times New Roman" w:cs="Times New Roman"/>
          <w:color w:val="222222"/>
          <w:sz w:val="24"/>
          <w:szCs w:val="24"/>
          <w:lang w:val="en-US" w:eastAsia="ru-RU"/>
        </w:rPr>
        <w:t>A</w:t>
      </w:r>
      <w:r w:rsidRPr="00E22DDB">
        <w:rPr>
          <w:rFonts w:ascii="Times New Roman" w:eastAsia="Times New Roman" w:hAnsi="Times New Roman" w:cs="Times New Roman"/>
          <w:color w:val="222222"/>
          <w:sz w:val="24"/>
          <w:szCs w:val="24"/>
          <w:lang w:eastAsia="ru-RU"/>
        </w:rPr>
        <w:t>4</w:t>
      </w:r>
      <w:bookmarkEnd w:id="11"/>
      <w:r w:rsidRPr="00E22DDB">
        <w:rPr>
          <w:rFonts w:ascii="Times New Roman" w:eastAsia="Times New Roman" w:hAnsi="Times New Roman" w:cs="Times New Roman"/>
          <w:color w:val="222222"/>
          <w:sz w:val="24"/>
          <w:szCs w:val="24"/>
          <w:lang w:eastAsia="ru-RU"/>
        </w:rPr>
        <w:t xml:space="preserve"> во время лечения препаратом </w:t>
      </w:r>
      <w:r w:rsidR="00AC0C10" w:rsidRPr="00E22DDB">
        <w:rPr>
          <w:rFonts w:ascii="Times New Roman" w:eastAsia="Times New Roman" w:hAnsi="Times New Roman" w:cs="Times New Roman"/>
          <w:color w:val="222222"/>
          <w:sz w:val="24"/>
          <w:szCs w:val="24"/>
          <w:lang w:eastAsia="ru-RU"/>
        </w:rPr>
        <w:t>Бидирон</w:t>
      </w:r>
      <w:r w:rsidRPr="00E22DDB">
        <w:rPr>
          <w:rFonts w:ascii="Times New Roman" w:eastAsia="Times New Roman" w:hAnsi="Times New Roman" w:cs="Times New Roman"/>
          <w:color w:val="222222"/>
          <w:sz w:val="24"/>
          <w:szCs w:val="24"/>
          <w:lang w:eastAsia="ru-RU"/>
        </w:rPr>
        <w:t>, их применение допустимо только в случае отсутствия терапевтической альтернативы</w:t>
      </w:r>
      <w:r w:rsidR="00F25726" w:rsidRPr="00E22DDB">
        <w:rPr>
          <w:rFonts w:ascii="Times New Roman" w:eastAsia="Times New Roman" w:hAnsi="Times New Roman" w:cs="Times New Roman"/>
          <w:color w:val="222222"/>
          <w:sz w:val="24"/>
          <w:szCs w:val="24"/>
          <w:lang w:eastAsia="ru-RU"/>
        </w:rPr>
        <w:t xml:space="preserve"> (см. раздел 4.5)</w:t>
      </w:r>
      <w:r w:rsidRPr="00E22DDB">
        <w:rPr>
          <w:rFonts w:ascii="Times New Roman" w:eastAsia="Times New Roman" w:hAnsi="Times New Roman" w:cs="Times New Roman"/>
          <w:color w:val="222222"/>
          <w:sz w:val="24"/>
          <w:szCs w:val="24"/>
          <w:lang w:eastAsia="ru-RU"/>
        </w:rPr>
        <w:t>.</w:t>
      </w:r>
    </w:p>
    <w:p w14:paraId="3C4D60FB" w14:textId="77777777" w:rsidR="001D141C" w:rsidRPr="00E22DDB" w:rsidRDefault="001D141C" w:rsidP="00701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22222"/>
          <w:sz w:val="24"/>
          <w:szCs w:val="24"/>
          <w:lang w:eastAsia="ru-RU"/>
        </w:rPr>
      </w:pPr>
      <w:r w:rsidRPr="00E22DDB">
        <w:rPr>
          <w:rFonts w:ascii="Times New Roman" w:eastAsia="Times New Roman" w:hAnsi="Times New Roman" w:cs="Times New Roman"/>
          <w:i/>
          <w:color w:val="222222"/>
          <w:sz w:val="24"/>
          <w:szCs w:val="24"/>
          <w:lang w:eastAsia="ru-RU"/>
        </w:rPr>
        <w:t>Комбинация абиратерона и преднизона /предн</w:t>
      </w:r>
      <w:r w:rsidR="00867192" w:rsidRPr="00E22DDB">
        <w:rPr>
          <w:rFonts w:ascii="Times New Roman" w:eastAsia="Times New Roman" w:hAnsi="Times New Roman" w:cs="Times New Roman"/>
          <w:i/>
          <w:color w:val="222222"/>
          <w:sz w:val="24"/>
          <w:szCs w:val="24"/>
          <w:lang w:eastAsia="ru-RU"/>
        </w:rPr>
        <w:t xml:space="preserve">изолона с </w:t>
      </w:r>
      <w:r w:rsidR="00867192" w:rsidRPr="00E22DDB">
        <w:rPr>
          <w:rFonts w:ascii="Times New Roman" w:eastAsia="Times New Roman" w:hAnsi="Times New Roman" w:cs="Times New Roman"/>
          <w:i/>
          <w:color w:val="222222"/>
          <w:sz w:val="24"/>
          <w:szCs w:val="24"/>
          <w:lang w:val="en-US" w:eastAsia="ru-RU"/>
        </w:rPr>
        <w:t>R</w:t>
      </w:r>
      <w:r w:rsidRPr="00E22DDB">
        <w:rPr>
          <w:rFonts w:ascii="Times New Roman" w:eastAsia="Times New Roman" w:hAnsi="Times New Roman" w:cs="Times New Roman"/>
          <w:i/>
          <w:color w:val="222222"/>
          <w:sz w:val="24"/>
          <w:szCs w:val="24"/>
          <w:lang w:eastAsia="ru-RU"/>
        </w:rPr>
        <w:t>a-223</w:t>
      </w:r>
    </w:p>
    <w:p w14:paraId="7F8E51ED" w14:textId="4C5890BA" w:rsidR="001D141C" w:rsidRPr="00E22DDB" w:rsidRDefault="001D141C" w:rsidP="00701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E22DDB">
        <w:rPr>
          <w:rFonts w:ascii="Times New Roman" w:eastAsia="Times New Roman" w:hAnsi="Times New Roman" w:cs="Times New Roman"/>
          <w:color w:val="222222"/>
          <w:sz w:val="24"/>
          <w:szCs w:val="24"/>
          <w:lang w:eastAsia="ru-RU"/>
        </w:rPr>
        <w:t>Лечение абиратероном и преднизон</w:t>
      </w:r>
      <w:r w:rsidR="00867192" w:rsidRPr="00E22DDB">
        <w:rPr>
          <w:rFonts w:ascii="Times New Roman" w:eastAsia="Times New Roman" w:hAnsi="Times New Roman" w:cs="Times New Roman"/>
          <w:color w:val="222222"/>
          <w:sz w:val="24"/>
          <w:szCs w:val="24"/>
          <w:lang w:eastAsia="ru-RU"/>
        </w:rPr>
        <w:t xml:space="preserve">ом/преднизолоном в сочетании с </w:t>
      </w:r>
      <w:r w:rsidR="00867192" w:rsidRPr="00E22DDB">
        <w:rPr>
          <w:rFonts w:ascii="Times New Roman" w:eastAsia="Times New Roman" w:hAnsi="Times New Roman" w:cs="Times New Roman"/>
          <w:color w:val="222222"/>
          <w:sz w:val="24"/>
          <w:szCs w:val="24"/>
          <w:lang w:val="en-US" w:eastAsia="ru-RU"/>
        </w:rPr>
        <w:t>R</w:t>
      </w:r>
      <w:r w:rsidRPr="00E22DDB">
        <w:rPr>
          <w:rFonts w:ascii="Times New Roman" w:eastAsia="Times New Roman" w:hAnsi="Times New Roman" w:cs="Times New Roman"/>
          <w:color w:val="222222"/>
          <w:sz w:val="24"/>
          <w:szCs w:val="24"/>
          <w:lang w:eastAsia="ru-RU"/>
        </w:rPr>
        <w:t>a-223 противопоказано</w:t>
      </w:r>
      <w:r w:rsidR="00F25726" w:rsidRPr="00E22DDB">
        <w:rPr>
          <w:rFonts w:ascii="Times New Roman" w:eastAsia="Times New Roman" w:hAnsi="Times New Roman" w:cs="Times New Roman"/>
          <w:color w:val="222222"/>
          <w:sz w:val="24"/>
          <w:szCs w:val="24"/>
          <w:lang w:eastAsia="ru-RU"/>
        </w:rPr>
        <w:t xml:space="preserve"> (см. раздел 4.3)</w:t>
      </w:r>
      <w:r w:rsidRPr="00E22DDB">
        <w:rPr>
          <w:rFonts w:ascii="Times New Roman" w:eastAsia="Times New Roman" w:hAnsi="Times New Roman" w:cs="Times New Roman"/>
          <w:color w:val="222222"/>
          <w:sz w:val="24"/>
          <w:szCs w:val="24"/>
          <w:lang w:eastAsia="ru-RU"/>
        </w:rPr>
        <w:t xml:space="preserve"> из-за повышенного риска переломов и тенденции к увеличению смертности среди бессимптомных или слабо симптомных больных раком предстательной железы.</w:t>
      </w:r>
    </w:p>
    <w:p w14:paraId="11E9DBA6" w14:textId="77777777" w:rsidR="0068480B" w:rsidRPr="00E22DDB" w:rsidRDefault="001D141C" w:rsidP="0068480B">
      <w:pPr>
        <w:spacing w:after="0" w:line="240" w:lineRule="auto"/>
        <w:jc w:val="both"/>
        <w:textAlignment w:val="top"/>
        <w:rPr>
          <w:rFonts w:ascii="Times New Roman" w:eastAsia="Times New Roman" w:hAnsi="Times New Roman" w:cs="Times New Roman"/>
          <w:color w:val="222222"/>
          <w:sz w:val="24"/>
          <w:szCs w:val="24"/>
          <w:lang w:eastAsia="ru-RU"/>
        </w:rPr>
      </w:pPr>
      <w:r w:rsidRPr="00E22DDB">
        <w:rPr>
          <w:rFonts w:ascii="Times New Roman" w:eastAsia="Times New Roman" w:hAnsi="Times New Roman" w:cs="Times New Roman"/>
          <w:color w:val="222222"/>
          <w:sz w:val="24"/>
          <w:szCs w:val="24"/>
          <w:lang w:eastAsia="ru-RU"/>
        </w:rPr>
        <w:t>Рекомендуе</w:t>
      </w:r>
      <w:r w:rsidR="00867192" w:rsidRPr="00E22DDB">
        <w:rPr>
          <w:rFonts w:ascii="Times New Roman" w:eastAsia="Times New Roman" w:hAnsi="Times New Roman" w:cs="Times New Roman"/>
          <w:color w:val="222222"/>
          <w:sz w:val="24"/>
          <w:szCs w:val="24"/>
          <w:lang w:eastAsia="ru-RU"/>
        </w:rPr>
        <w:t xml:space="preserve">тся, чтобы последующее лечение </w:t>
      </w:r>
      <w:r w:rsidR="00867192" w:rsidRPr="00E22DDB">
        <w:rPr>
          <w:rFonts w:ascii="Times New Roman" w:eastAsia="Times New Roman" w:hAnsi="Times New Roman" w:cs="Times New Roman"/>
          <w:color w:val="222222"/>
          <w:sz w:val="24"/>
          <w:szCs w:val="24"/>
          <w:lang w:val="en-US" w:eastAsia="ru-RU"/>
        </w:rPr>
        <w:t>R</w:t>
      </w:r>
      <w:r w:rsidRPr="00E22DDB">
        <w:rPr>
          <w:rFonts w:ascii="Times New Roman" w:eastAsia="Times New Roman" w:hAnsi="Times New Roman" w:cs="Times New Roman"/>
          <w:color w:val="222222"/>
          <w:sz w:val="24"/>
          <w:szCs w:val="24"/>
          <w:lang w:eastAsia="ru-RU"/>
        </w:rPr>
        <w:t>a-223 не начиналось в течение по крайней мере 5 дней после последнего введения Бидирона в комбинации с преднизоном/преднизолоном.</w:t>
      </w:r>
    </w:p>
    <w:p w14:paraId="539C2E2B" w14:textId="77777777" w:rsidR="00006257" w:rsidRPr="00E22DDB" w:rsidRDefault="00006257" w:rsidP="0068480B">
      <w:pPr>
        <w:spacing w:after="0" w:line="240" w:lineRule="auto"/>
        <w:jc w:val="both"/>
        <w:textAlignment w:val="top"/>
        <w:rPr>
          <w:rFonts w:ascii="Times New Roman" w:eastAsia="Times New Roman" w:hAnsi="Times New Roman" w:cs="Times New Roman"/>
          <w:color w:val="777777"/>
          <w:sz w:val="24"/>
          <w:szCs w:val="24"/>
          <w:lang w:eastAsia="ru-RU"/>
        </w:rPr>
      </w:pPr>
    </w:p>
    <w:p w14:paraId="29A410AC" w14:textId="77777777" w:rsidR="009F7D92" w:rsidRPr="00E22DDB" w:rsidRDefault="009F7D92" w:rsidP="0068480B">
      <w:pPr>
        <w:spacing w:after="0" w:line="240" w:lineRule="auto"/>
        <w:jc w:val="both"/>
        <w:textAlignment w:val="top"/>
        <w:rPr>
          <w:rFonts w:ascii="Times New Roman" w:eastAsia="Times New Roman" w:hAnsi="Times New Roman" w:cs="Times New Roman"/>
          <w:b/>
          <w:color w:val="777777"/>
          <w:sz w:val="24"/>
          <w:szCs w:val="24"/>
          <w:lang w:eastAsia="ru-RU"/>
        </w:rPr>
      </w:pPr>
      <w:r w:rsidRPr="00E22DDB">
        <w:rPr>
          <w:rFonts w:ascii="Times New Roman" w:hAnsi="Times New Roman" w:cs="Times New Roman"/>
          <w:b/>
          <w:sz w:val="24"/>
          <w:szCs w:val="24"/>
        </w:rPr>
        <w:t>4.5. Взаимодействие с другими лекарственными препарата</w:t>
      </w:r>
      <w:r w:rsidR="0068480B" w:rsidRPr="00E22DDB">
        <w:rPr>
          <w:rFonts w:ascii="Times New Roman" w:hAnsi="Times New Roman" w:cs="Times New Roman"/>
          <w:b/>
          <w:sz w:val="24"/>
          <w:szCs w:val="24"/>
        </w:rPr>
        <w:t>ми и другие виды взаимодействия</w:t>
      </w:r>
    </w:p>
    <w:p w14:paraId="1620634A" w14:textId="77777777" w:rsidR="00742A66" w:rsidRPr="00E22DDB" w:rsidRDefault="00742A66" w:rsidP="00701A32">
      <w:pPr>
        <w:autoSpaceDE w:val="0"/>
        <w:autoSpaceDN w:val="0"/>
        <w:spacing w:after="0" w:line="240" w:lineRule="auto"/>
        <w:jc w:val="both"/>
        <w:rPr>
          <w:rFonts w:ascii="Times New Roman" w:eastAsia="Times New Roman" w:hAnsi="Times New Roman" w:cs="Times New Roman"/>
          <w:sz w:val="24"/>
          <w:szCs w:val="24"/>
          <w:u w:val="single"/>
        </w:rPr>
      </w:pPr>
      <w:r w:rsidRPr="00E22DDB">
        <w:rPr>
          <w:rFonts w:ascii="Times New Roman" w:eastAsia="Times New Roman" w:hAnsi="Times New Roman" w:cs="Times New Roman"/>
          <w:sz w:val="24"/>
          <w:szCs w:val="24"/>
          <w:u w:val="single"/>
        </w:rPr>
        <w:t>Влияние пищи на абиратерона ацетат</w:t>
      </w:r>
    </w:p>
    <w:p w14:paraId="738DC853" w14:textId="43F67C33" w:rsidR="00742A66" w:rsidRPr="00E22DDB" w:rsidRDefault="00742A66" w:rsidP="00701A32">
      <w:pPr>
        <w:autoSpaceDE w:val="0"/>
        <w:autoSpaceDN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Прием препарата Бидирон одновременно с пищей значительно увеличивает всасывание абиратерона ацетата. Эффективность и безопасность препарата Бидирон, принятого с пищей, не установлена. Препарат Бидирон</w:t>
      </w:r>
      <w:r w:rsidRPr="00E22DDB">
        <w:rPr>
          <w:rFonts w:ascii="Times New Roman" w:eastAsia="Times New Roman" w:hAnsi="Times New Roman" w:cs="Times New Roman"/>
          <w:sz w:val="24"/>
          <w:szCs w:val="24"/>
          <w:vertAlign w:val="superscript"/>
        </w:rPr>
        <w:t xml:space="preserve"> </w:t>
      </w:r>
      <w:r w:rsidRPr="00E22DDB">
        <w:rPr>
          <w:rFonts w:ascii="Times New Roman" w:eastAsia="Times New Roman" w:hAnsi="Times New Roman" w:cs="Times New Roman"/>
          <w:sz w:val="24"/>
          <w:szCs w:val="24"/>
        </w:rPr>
        <w:t>не следует принимать во время еды</w:t>
      </w:r>
      <w:r w:rsidR="00F25726" w:rsidRPr="00E22DDB">
        <w:rPr>
          <w:rFonts w:ascii="Times New Roman" w:eastAsia="Times New Roman" w:hAnsi="Times New Roman" w:cs="Times New Roman"/>
          <w:sz w:val="24"/>
          <w:szCs w:val="24"/>
        </w:rPr>
        <w:t xml:space="preserve"> (см. раздел 4.2 и 5.2)</w:t>
      </w:r>
      <w:r w:rsidRPr="00E22DDB">
        <w:rPr>
          <w:rFonts w:ascii="Times New Roman" w:eastAsia="Times New Roman" w:hAnsi="Times New Roman" w:cs="Times New Roman"/>
          <w:sz w:val="24"/>
          <w:szCs w:val="24"/>
        </w:rPr>
        <w:t xml:space="preserve">. </w:t>
      </w:r>
    </w:p>
    <w:p w14:paraId="214B0C12" w14:textId="77777777" w:rsidR="00742A66" w:rsidRPr="00E22DDB" w:rsidRDefault="00742A66" w:rsidP="00701A32">
      <w:pPr>
        <w:shd w:val="clear" w:color="auto" w:fill="FFFFFF"/>
        <w:autoSpaceDE w:val="0"/>
        <w:autoSpaceDN w:val="0"/>
        <w:spacing w:after="0" w:line="240" w:lineRule="auto"/>
        <w:jc w:val="both"/>
        <w:rPr>
          <w:rFonts w:ascii="Times New Roman" w:eastAsia="Times New Roman" w:hAnsi="Times New Roman" w:cs="Times New Roman"/>
          <w:color w:val="000000"/>
          <w:sz w:val="24"/>
          <w:szCs w:val="24"/>
          <w:u w:val="single"/>
        </w:rPr>
      </w:pPr>
      <w:r w:rsidRPr="00E22DDB">
        <w:rPr>
          <w:rFonts w:ascii="Times New Roman" w:eastAsia="Times New Roman" w:hAnsi="Times New Roman" w:cs="Times New Roman"/>
          <w:color w:val="000000"/>
          <w:sz w:val="24"/>
          <w:szCs w:val="24"/>
          <w:u w:val="single"/>
        </w:rPr>
        <w:t>Взаимодействие с другими лекарственными средствами</w:t>
      </w:r>
    </w:p>
    <w:p w14:paraId="571AC204" w14:textId="77777777" w:rsidR="00742A66" w:rsidRPr="00E22DDB" w:rsidRDefault="00742A66" w:rsidP="00701A32">
      <w:pPr>
        <w:shd w:val="clear" w:color="auto" w:fill="FFFFFF"/>
        <w:autoSpaceDE w:val="0"/>
        <w:autoSpaceDN w:val="0"/>
        <w:spacing w:after="0" w:line="240" w:lineRule="auto"/>
        <w:jc w:val="both"/>
        <w:rPr>
          <w:rFonts w:ascii="Times New Roman" w:eastAsia="Times New Roman" w:hAnsi="Times New Roman" w:cs="Times New Roman"/>
          <w:i/>
          <w:iCs/>
          <w:color w:val="000000"/>
          <w:sz w:val="24"/>
          <w:szCs w:val="24"/>
        </w:rPr>
      </w:pPr>
      <w:r w:rsidRPr="00E22DDB">
        <w:rPr>
          <w:rFonts w:ascii="Times New Roman" w:eastAsia="Times New Roman" w:hAnsi="Times New Roman" w:cs="Times New Roman"/>
          <w:i/>
          <w:iCs/>
          <w:color w:val="000000"/>
          <w:sz w:val="24"/>
          <w:szCs w:val="24"/>
        </w:rPr>
        <w:t xml:space="preserve">Способность других лекарственных средств оказывать влияние на действие абиратерона </w:t>
      </w:r>
    </w:p>
    <w:p w14:paraId="3891E520" w14:textId="77777777" w:rsidR="009E1899" w:rsidRPr="00E22DDB" w:rsidRDefault="00742A66" w:rsidP="00701A32">
      <w:pPr>
        <w:shd w:val="clear" w:color="auto" w:fill="FFFFFF"/>
        <w:autoSpaceDE w:val="0"/>
        <w:autoSpaceDN w:val="0"/>
        <w:spacing w:after="0" w:line="240" w:lineRule="auto"/>
        <w:jc w:val="both"/>
        <w:rPr>
          <w:rFonts w:ascii="Times New Roman" w:eastAsia="Times New Roman" w:hAnsi="Times New Roman" w:cs="Times New Roman"/>
          <w:color w:val="222222"/>
          <w:sz w:val="24"/>
          <w:szCs w:val="24"/>
          <w:lang w:eastAsia="ru-RU"/>
        </w:rPr>
      </w:pPr>
      <w:r w:rsidRPr="00E22DDB">
        <w:rPr>
          <w:rFonts w:ascii="Times New Roman" w:eastAsia="Times New Roman" w:hAnsi="Times New Roman" w:cs="Times New Roman"/>
          <w:color w:val="222222"/>
          <w:sz w:val="24"/>
          <w:szCs w:val="24"/>
          <w:lang w:eastAsia="ru-RU"/>
        </w:rPr>
        <w:lastRenderedPageBreak/>
        <w:t xml:space="preserve">В клиническом исследовании фармакокинетического взаимодействия у здоровых, получавших предварительную терапию сильным индуктором </w:t>
      </w:r>
      <w:r w:rsidRPr="00E22DDB">
        <w:rPr>
          <w:rFonts w:ascii="Times New Roman" w:eastAsia="Times New Roman" w:hAnsi="Times New Roman" w:cs="Times New Roman"/>
          <w:color w:val="222222"/>
          <w:sz w:val="24"/>
          <w:szCs w:val="24"/>
          <w:lang w:val="en-US" w:eastAsia="ru-RU"/>
        </w:rPr>
        <w:t>CYP</w:t>
      </w:r>
      <w:r w:rsidRPr="00E22DDB">
        <w:rPr>
          <w:rFonts w:ascii="Times New Roman" w:eastAsia="Times New Roman" w:hAnsi="Times New Roman" w:cs="Times New Roman"/>
          <w:color w:val="222222"/>
          <w:sz w:val="24"/>
          <w:szCs w:val="24"/>
          <w:lang w:eastAsia="ru-RU"/>
        </w:rPr>
        <w:t>3</w:t>
      </w:r>
      <w:r w:rsidRPr="00E22DDB">
        <w:rPr>
          <w:rFonts w:ascii="Times New Roman" w:eastAsia="Times New Roman" w:hAnsi="Times New Roman" w:cs="Times New Roman"/>
          <w:color w:val="222222"/>
          <w:sz w:val="24"/>
          <w:szCs w:val="24"/>
          <w:lang w:val="en-US" w:eastAsia="ru-RU"/>
        </w:rPr>
        <w:t>A</w:t>
      </w:r>
      <w:r w:rsidRPr="00E22DDB">
        <w:rPr>
          <w:rFonts w:ascii="Times New Roman" w:eastAsia="Times New Roman" w:hAnsi="Times New Roman" w:cs="Times New Roman"/>
          <w:color w:val="222222"/>
          <w:sz w:val="24"/>
          <w:szCs w:val="24"/>
          <w:lang w:eastAsia="ru-RU"/>
        </w:rPr>
        <w:t xml:space="preserve">4, рифампицином, дозировкой 600 мг в день в течение 6 дней, с последующим приемом однократной дозы абиратерона ацетата 1 000 мг, среднее плазменное значение абиратерона </w:t>
      </w:r>
      <w:r w:rsidRPr="00E22DDB">
        <w:rPr>
          <w:rFonts w:ascii="Times New Roman" w:eastAsia="Times New Roman" w:hAnsi="Times New Roman" w:cs="Times New Roman"/>
          <w:color w:val="222222"/>
          <w:sz w:val="24"/>
          <w:szCs w:val="24"/>
          <w:lang w:val="en-US" w:eastAsia="ru-RU"/>
        </w:rPr>
        <w:t>AUC</w:t>
      </w:r>
      <w:r w:rsidRPr="00E22DDB">
        <w:rPr>
          <w:rFonts w:ascii="Times New Roman" w:eastAsia="Times New Roman" w:hAnsi="Times New Roman" w:cs="Times New Roman"/>
          <w:color w:val="222222"/>
          <w:sz w:val="24"/>
          <w:szCs w:val="24"/>
          <w:vertAlign w:val="subscript"/>
          <w:lang w:eastAsia="ru-RU"/>
        </w:rPr>
        <w:t>∞</w:t>
      </w:r>
      <w:r w:rsidRPr="00E22DDB">
        <w:rPr>
          <w:rFonts w:ascii="Times New Roman" w:eastAsia="Times New Roman" w:hAnsi="Times New Roman" w:cs="Times New Roman"/>
          <w:color w:val="222222"/>
          <w:sz w:val="24"/>
          <w:szCs w:val="24"/>
          <w:lang w:eastAsia="ru-RU"/>
        </w:rPr>
        <w:t xml:space="preserve"> было снижено на 55%. </w:t>
      </w:r>
    </w:p>
    <w:p w14:paraId="500FD604" w14:textId="77777777" w:rsidR="00742A66" w:rsidRPr="00E22DDB" w:rsidRDefault="00742A66" w:rsidP="00701A32">
      <w:pPr>
        <w:shd w:val="clear" w:color="auto" w:fill="FFFFFF"/>
        <w:autoSpaceDE w:val="0"/>
        <w:autoSpaceDN w:val="0"/>
        <w:spacing w:after="0" w:line="240" w:lineRule="auto"/>
        <w:jc w:val="both"/>
        <w:rPr>
          <w:rFonts w:ascii="Arial" w:eastAsia="Times New Roman" w:hAnsi="Arial" w:cs="Arial"/>
          <w:color w:val="222222"/>
          <w:sz w:val="24"/>
          <w:szCs w:val="24"/>
          <w:lang w:eastAsia="ru-RU"/>
        </w:rPr>
      </w:pPr>
      <w:r w:rsidRPr="00E22DDB">
        <w:rPr>
          <w:rFonts w:ascii="Times New Roman" w:eastAsia="Times New Roman" w:hAnsi="Times New Roman" w:cs="Times New Roman"/>
          <w:color w:val="222222"/>
          <w:sz w:val="24"/>
          <w:szCs w:val="24"/>
          <w:lang w:eastAsia="ru-RU"/>
        </w:rPr>
        <w:t xml:space="preserve">Во время лечения абиратероном следует избегать применения сильных индукторов </w:t>
      </w:r>
      <w:r w:rsidRPr="00E22DDB">
        <w:rPr>
          <w:rFonts w:ascii="Times New Roman" w:eastAsia="Times New Roman" w:hAnsi="Times New Roman" w:cs="Times New Roman"/>
          <w:color w:val="222222"/>
          <w:sz w:val="24"/>
          <w:szCs w:val="24"/>
          <w:lang w:val="en-US" w:eastAsia="ru-RU"/>
        </w:rPr>
        <w:t>CYP</w:t>
      </w:r>
      <w:r w:rsidRPr="00E22DDB">
        <w:rPr>
          <w:rFonts w:ascii="Times New Roman" w:eastAsia="Times New Roman" w:hAnsi="Times New Roman" w:cs="Times New Roman"/>
          <w:color w:val="222222"/>
          <w:sz w:val="24"/>
          <w:szCs w:val="24"/>
          <w:lang w:eastAsia="ru-RU"/>
        </w:rPr>
        <w:t>3</w:t>
      </w:r>
      <w:r w:rsidRPr="00E22DDB">
        <w:rPr>
          <w:rFonts w:ascii="Times New Roman" w:eastAsia="Times New Roman" w:hAnsi="Times New Roman" w:cs="Times New Roman"/>
          <w:color w:val="222222"/>
          <w:sz w:val="24"/>
          <w:szCs w:val="24"/>
          <w:lang w:val="en-US" w:eastAsia="ru-RU"/>
        </w:rPr>
        <w:t>A</w:t>
      </w:r>
      <w:r w:rsidRPr="00E22DDB">
        <w:rPr>
          <w:rFonts w:ascii="Times New Roman" w:eastAsia="Times New Roman" w:hAnsi="Times New Roman" w:cs="Times New Roman"/>
          <w:color w:val="222222"/>
          <w:sz w:val="24"/>
          <w:szCs w:val="24"/>
          <w:lang w:eastAsia="ru-RU"/>
        </w:rPr>
        <w:t>4 (например, фенитоин, карбамазепин, рифампицин, рифабутин, рифапентин, фенобарбитал, зверобой [</w:t>
      </w:r>
      <w:r w:rsidRPr="00E22DDB">
        <w:rPr>
          <w:rFonts w:ascii="Times New Roman" w:eastAsia="Times New Roman" w:hAnsi="Times New Roman" w:cs="Times New Roman"/>
          <w:i/>
          <w:iCs/>
          <w:sz w:val="24"/>
          <w:szCs w:val="24"/>
          <w:lang w:val="en-US"/>
        </w:rPr>
        <w:t>Hypericum</w:t>
      </w:r>
      <w:r w:rsidRPr="00E22DDB">
        <w:rPr>
          <w:rFonts w:ascii="Times New Roman" w:eastAsia="Times New Roman" w:hAnsi="Times New Roman" w:cs="Times New Roman"/>
          <w:i/>
          <w:iCs/>
          <w:sz w:val="24"/>
          <w:szCs w:val="24"/>
        </w:rPr>
        <w:t xml:space="preserve"> </w:t>
      </w:r>
      <w:r w:rsidRPr="00E22DDB">
        <w:rPr>
          <w:rFonts w:ascii="Times New Roman" w:eastAsia="Times New Roman" w:hAnsi="Times New Roman" w:cs="Times New Roman"/>
          <w:i/>
          <w:iCs/>
          <w:sz w:val="24"/>
          <w:szCs w:val="24"/>
          <w:lang w:val="en-US"/>
        </w:rPr>
        <w:t>perforatum</w:t>
      </w:r>
      <w:r w:rsidRPr="00E22DDB">
        <w:rPr>
          <w:rFonts w:ascii="Times New Roman" w:eastAsia="Times New Roman" w:hAnsi="Times New Roman" w:cs="Times New Roman"/>
          <w:color w:val="222222"/>
          <w:sz w:val="24"/>
          <w:szCs w:val="24"/>
          <w:lang w:eastAsia="ru-RU"/>
        </w:rPr>
        <w:t>]), их применение допустимо только в случае отсутствия терапевтической альтернативы</w:t>
      </w:r>
      <w:r w:rsidRPr="00E22DDB">
        <w:rPr>
          <w:rFonts w:ascii="Arial" w:eastAsia="Times New Roman" w:hAnsi="Arial" w:cs="Arial"/>
          <w:color w:val="222222"/>
          <w:sz w:val="24"/>
          <w:szCs w:val="24"/>
          <w:lang w:eastAsia="ru-RU"/>
        </w:rPr>
        <w:t xml:space="preserve">. </w:t>
      </w:r>
    </w:p>
    <w:p w14:paraId="0A9225AF" w14:textId="77777777" w:rsidR="00742A66" w:rsidRPr="00E22DDB" w:rsidRDefault="00742A66" w:rsidP="00701A32">
      <w:pPr>
        <w:shd w:val="clear" w:color="auto" w:fill="FFFFFF"/>
        <w:autoSpaceDE w:val="0"/>
        <w:autoSpaceDN w:val="0"/>
        <w:spacing w:after="0" w:line="240" w:lineRule="auto"/>
        <w:jc w:val="both"/>
        <w:rPr>
          <w:rFonts w:ascii="Times New Roman" w:eastAsia="Times New Roman" w:hAnsi="Times New Roman" w:cs="Times New Roman"/>
          <w:color w:val="000000"/>
          <w:sz w:val="24"/>
          <w:szCs w:val="24"/>
        </w:rPr>
      </w:pPr>
      <w:r w:rsidRPr="00E22DDB">
        <w:rPr>
          <w:rFonts w:ascii="Times New Roman" w:eastAsia="Times New Roman" w:hAnsi="Times New Roman" w:cs="Times New Roman"/>
          <w:color w:val="000000"/>
          <w:sz w:val="24"/>
          <w:szCs w:val="24"/>
        </w:rPr>
        <w:t>В отдельном клиническом исследовании фармакокинетического взаимодействия у здоровых, совместное применение с кетоконазолом, сильным ингибитором CYP3A4, не обнаружено клинически значимого влияния на фармакокинетику абиратерона.</w:t>
      </w:r>
    </w:p>
    <w:p w14:paraId="23BC4FF7" w14:textId="77777777" w:rsidR="00742A66" w:rsidRPr="00E22DDB" w:rsidRDefault="00742A66" w:rsidP="00701A32">
      <w:pPr>
        <w:shd w:val="clear" w:color="auto" w:fill="FFFFFF"/>
        <w:autoSpaceDE w:val="0"/>
        <w:autoSpaceDN w:val="0"/>
        <w:spacing w:after="0" w:line="240" w:lineRule="auto"/>
        <w:jc w:val="both"/>
        <w:rPr>
          <w:rFonts w:ascii="Times New Roman" w:eastAsia="Times New Roman" w:hAnsi="Times New Roman" w:cs="Times New Roman"/>
          <w:color w:val="000000"/>
          <w:sz w:val="24"/>
          <w:szCs w:val="24"/>
        </w:rPr>
      </w:pPr>
      <w:r w:rsidRPr="00E22DDB">
        <w:rPr>
          <w:rFonts w:ascii="Times New Roman" w:eastAsia="Times New Roman" w:hAnsi="Times New Roman" w:cs="Times New Roman"/>
          <w:i/>
          <w:iCs/>
          <w:color w:val="000000"/>
          <w:sz w:val="24"/>
          <w:szCs w:val="24"/>
        </w:rPr>
        <w:t xml:space="preserve">Способность оказывать влияние на активность других лекарственных средств </w:t>
      </w:r>
    </w:p>
    <w:p w14:paraId="0A5482B6" w14:textId="77777777" w:rsidR="00742A66" w:rsidRPr="00E22DDB" w:rsidRDefault="00742A66" w:rsidP="00701A32">
      <w:pPr>
        <w:shd w:val="clear" w:color="auto" w:fill="FFFFFF"/>
        <w:autoSpaceDE w:val="0"/>
        <w:autoSpaceDN w:val="0"/>
        <w:spacing w:after="0" w:line="240" w:lineRule="auto"/>
        <w:jc w:val="both"/>
        <w:rPr>
          <w:rFonts w:ascii="Times New Roman" w:eastAsia="Times New Roman" w:hAnsi="Times New Roman" w:cs="Times New Roman"/>
          <w:color w:val="000000"/>
          <w:sz w:val="24"/>
          <w:szCs w:val="24"/>
        </w:rPr>
      </w:pPr>
      <w:r w:rsidRPr="00E22DDB">
        <w:rPr>
          <w:rFonts w:ascii="Times New Roman" w:eastAsia="Times New Roman" w:hAnsi="Times New Roman" w:cs="Times New Roman"/>
          <w:color w:val="000000"/>
          <w:sz w:val="24"/>
          <w:szCs w:val="24"/>
        </w:rPr>
        <w:t>Абиратерон является ингибитором печеночных ферментов  CYP2D6 и CYP2C8, участвующих в метаболизме лекарственных средств.</w:t>
      </w:r>
      <w:r w:rsidR="009E1899" w:rsidRPr="00E22DDB">
        <w:rPr>
          <w:rFonts w:ascii="Times New Roman" w:eastAsia="Times New Roman" w:hAnsi="Times New Roman" w:cs="Times New Roman"/>
          <w:color w:val="000000"/>
          <w:sz w:val="24"/>
          <w:szCs w:val="24"/>
        </w:rPr>
        <w:t xml:space="preserve"> </w:t>
      </w:r>
      <w:r w:rsidRPr="00E22DDB">
        <w:rPr>
          <w:rFonts w:ascii="Times New Roman" w:eastAsia="Times New Roman" w:hAnsi="Times New Roman" w:cs="Times New Roman"/>
          <w:color w:val="000000"/>
          <w:sz w:val="24"/>
          <w:szCs w:val="24"/>
        </w:rPr>
        <w:t xml:space="preserve">При одновременном применении абиратерона ацетата  (плюс преднизон) и декстрометорфана </w:t>
      </w:r>
      <w:r w:rsidRPr="00E22DDB">
        <w:rPr>
          <w:rFonts w:ascii="Times New Roman" w:eastAsia="Times New Roman" w:hAnsi="Times New Roman" w:cs="Times New Roman"/>
          <w:color w:val="0F243E"/>
          <w:sz w:val="24"/>
          <w:szCs w:val="24"/>
        </w:rPr>
        <w:t>(</w:t>
      </w:r>
      <w:r w:rsidRPr="00E22DDB">
        <w:rPr>
          <w:rFonts w:ascii="Times New Roman" w:eastAsia="Times New Roman" w:hAnsi="Times New Roman" w:cs="Times New Roman"/>
          <w:color w:val="000000"/>
          <w:sz w:val="24"/>
          <w:szCs w:val="24"/>
        </w:rPr>
        <w:t>субстрата CYP2D6) AUC декстрометорфана увеличивалась в 2.9 раза, AUC24 декстрорфана активного метаболита декстрометорфана, увеличивалась на 33%.</w:t>
      </w:r>
    </w:p>
    <w:p w14:paraId="67273AA2" w14:textId="77777777" w:rsidR="00742A66" w:rsidRPr="00E22DDB" w:rsidRDefault="00742A66" w:rsidP="00701A32">
      <w:pPr>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Следует соблюдать осторожность при приёме препарата Бидирон одновременно с лекарственными средствами, которые активируются или метаболизируются </w:t>
      </w:r>
      <w:r w:rsidRPr="00E22DDB">
        <w:rPr>
          <w:rFonts w:ascii="Times New Roman" w:eastAsia="Times New Roman" w:hAnsi="Times New Roman" w:cs="Times New Roman"/>
          <w:sz w:val="24"/>
          <w:szCs w:val="24"/>
          <w:lang w:val="en-US"/>
        </w:rPr>
        <w:t>CYP</w:t>
      </w:r>
      <w:r w:rsidRPr="00E22DDB">
        <w:rPr>
          <w:rFonts w:ascii="Times New Roman" w:eastAsia="Times New Roman" w:hAnsi="Times New Roman" w:cs="Times New Roman"/>
          <w:sz w:val="24"/>
          <w:szCs w:val="24"/>
        </w:rPr>
        <w:t>2</w:t>
      </w:r>
      <w:r w:rsidRPr="00E22DDB">
        <w:rPr>
          <w:rFonts w:ascii="Times New Roman" w:eastAsia="Times New Roman" w:hAnsi="Times New Roman" w:cs="Times New Roman"/>
          <w:sz w:val="24"/>
          <w:szCs w:val="24"/>
          <w:lang w:val="en-US"/>
        </w:rPr>
        <w:t>D</w:t>
      </w:r>
      <w:r w:rsidRPr="00E22DDB">
        <w:rPr>
          <w:rFonts w:ascii="Times New Roman" w:eastAsia="Times New Roman" w:hAnsi="Times New Roman" w:cs="Times New Roman"/>
          <w:sz w:val="24"/>
          <w:szCs w:val="24"/>
        </w:rPr>
        <w:t xml:space="preserve">6, в частности, с лекарственными средствами, которые имеют узкий терапевтический индекс. Необходимо рассмотреть вариант снижения дозы лекарственных препаратов с узким терапевтическим индексом, которые метаболизируются </w:t>
      </w:r>
      <w:r w:rsidRPr="00E22DDB">
        <w:rPr>
          <w:rFonts w:ascii="Times New Roman" w:eastAsia="Times New Roman" w:hAnsi="Times New Roman" w:cs="Times New Roman"/>
          <w:sz w:val="24"/>
          <w:szCs w:val="24"/>
          <w:lang w:val="en-US"/>
        </w:rPr>
        <w:t>CYP</w:t>
      </w:r>
      <w:r w:rsidRPr="00E22DDB">
        <w:rPr>
          <w:rFonts w:ascii="Times New Roman" w:eastAsia="Times New Roman" w:hAnsi="Times New Roman" w:cs="Times New Roman"/>
          <w:sz w:val="24"/>
          <w:szCs w:val="24"/>
        </w:rPr>
        <w:t>2</w:t>
      </w:r>
      <w:r w:rsidRPr="00E22DDB">
        <w:rPr>
          <w:rFonts w:ascii="Times New Roman" w:eastAsia="Times New Roman" w:hAnsi="Times New Roman" w:cs="Times New Roman"/>
          <w:sz w:val="24"/>
          <w:szCs w:val="24"/>
          <w:lang w:val="en-US"/>
        </w:rPr>
        <w:t>D</w:t>
      </w:r>
      <w:r w:rsidRPr="00E22DDB">
        <w:rPr>
          <w:rFonts w:ascii="Times New Roman" w:eastAsia="Times New Roman" w:hAnsi="Times New Roman" w:cs="Times New Roman"/>
          <w:sz w:val="24"/>
          <w:szCs w:val="24"/>
        </w:rPr>
        <w:t xml:space="preserve">6. Примеры лекарственных средств, которые метаболизируются </w:t>
      </w:r>
      <w:r w:rsidRPr="00E22DDB">
        <w:rPr>
          <w:rFonts w:ascii="Times New Roman" w:eastAsia="Times New Roman" w:hAnsi="Times New Roman" w:cs="Times New Roman"/>
          <w:sz w:val="24"/>
          <w:szCs w:val="24"/>
          <w:lang w:val="en-US"/>
        </w:rPr>
        <w:t>CYP</w:t>
      </w:r>
      <w:r w:rsidRPr="00E22DDB">
        <w:rPr>
          <w:rFonts w:ascii="Times New Roman" w:eastAsia="Times New Roman" w:hAnsi="Times New Roman" w:cs="Times New Roman"/>
          <w:sz w:val="24"/>
          <w:szCs w:val="24"/>
        </w:rPr>
        <w:t>2</w:t>
      </w:r>
      <w:r w:rsidRPr="00E22DDB">
        <w:rPr>
          <w:rFonts w:ascii="Times New Roman" w:eastAsia="Times New Roman" w:hAnsi="Times New Roman" w:cs="Times New Roman"/>
          <w:sz w:val="24"/>
          <w:szCs w:val="24"/>
          <w:lang w:val="en-US"/>
        </w:rPr>
        <w:t>D</w:t>
      </w:r>
      <w:r w:rsidRPr="00E22DDB">
        <w:rPr>
          <w:rFonts w:ascii="Times New Roman" w:eastAsia="Times New Roman" w:hAnsi="Times New Roman" w:cs="Times New Roman"/>
          <w:sz w:val="24"/>
          <w:szCs w:val="24"/>
        </w:rPr>
        <w:t xml:space="preserve">6, включают метопролол, пропранолол, дезипрамин, венлафаксин, галоперидол, рисперидон, пропафенон, флекаинид, кодеин, оксикодон и трамадол </w:t>
      </w:r>
      <w:r w:rsidRPr="00E22DDB">
        <w:rPr>
          <w:rFonts w:ascii="Times New Roman" w:eastAsia="TimesNewRoman" w:hAnsi="Times New Roman" w:cs="Times New Roman"/>
          <w:sz w:val="24"/>
          <w:szCs w:val="24"/>
        </w:rPr>
        <w:t xml:space="preserve">(последним трем препаратам требуется </w:t>
      </w:r>
      <w:r w:rsidRPr="00E22DDB">
        <w:rPr>
          <w:rFonts w:ascii="Times New Roman" w:eastAsia="TimesNewRoman" w:hAnsi="Times New Roman" w:cs="Times New Roman"/>
          <w:sz w:val="24"/>
          <w:szCs w:val="24"/>
          <w:lang w:val="en-US"/>
        </w:rPr>
        <w:t>CYP</w:t>
      </w:r>
      <w:r w:rsidRPr="00E22DDB">
        <w:rPr>
          <w:rFonts w:ascii="Times New Roman" w:eastAsia="TimesNewRoman" w:hAnsi="Times New Roman" w:cs="Times New Roman"/>
          <w:sz w:val="24"/>
          <w:szCs w:val="24"/>
        </w:rPr>
        <w:t>2</w:t>
      </w:r>
      <w:r w:rsidRPr="00E22DDB">
        <w:rPr>
          <w:rFonts w:ascii="Times New Roman" w:eastAsia="TimesNewRoman" w:hAnsi="Times New Roman" w:cs="Times New Roman"/>
          <w:sz w:val="24"/>
          <w:szCs w:val="24"/>
          <w:lang w:val="en-US"/>
        </w:rPr>
        <w:t>D</w:t>
      </w:r>
      <w:r w:rsidRPr="00E22DDB">
        <w:rPr>
          <w:rFonts w:ascii="Times New Roman" w:eastAsia="TimesNewRoman" w:hAnsi="Times New Roman" w:cs="Times New Roman"/>
          <w:sz w:val="24"/>
          <w:szCs w:val="24"/>
        </w:rPr>
        <w:t xml:space="preserve">6 для образования их активных анальгезирующих метаболитов). </w:t>
      </w:r>
    </w:p>
    <w:p w14:paraId="670153BB" w14:textId="77777777" w:rsidR="00742A66" w:rsidRPr="00E22DDB" w:rsidRDefault="00742A66" w:rsidP="00701A32">
      <w:pPr>
        <w:autoSpaceDE w:val="0"/>
        <w:autoSpaceDN w:val="0"/>
        <w:spacing w:after="0" w:line="240" w:lineRule="auto"/>
        <w:jc w:val="both"/>
        <w:rPr>
          <w:rFonts w:ascii="Times New Roman" w:eastAsia="Times New Roman" w:hAnsi="Times New Roman" w:cs="Times New Roman"/>
          <w:color w:val="000000"/>
          <w:sz w:val="24"/>
          <w:szCs w:val="24"/>
        </w:rPr>
      </w:pPr>
      <w:r w:rsidRPr="00E22DDB">
        <w:rPr>
          <w:rFonts w:ascii="Times New Roman" w:eastAsia="Times New Roman" w:hAnsi="Times New Roman" w:cs="Times New Roman"/>
          <w:color w:val="000000"/>
          <w:sz w:val="24"/>
          <w:szCs w:val="24"/>
        </w:rPr>
        <w:t xml:space="preserve">В исследовании лекарственного взаимодействия, с участием фермента CYP2C8 у здоровых, совместное применение пиоглитазона и  абиратерона ацетата в разовой дозе 1000 мг, приводило к повышению </w:t>
      </w:r>
      <w:r w:rsidRPr="00E22DDB">
        <w:rPr>
          <w:rFonts w:ascii="Times New Roman" w:eastAsia="Times New Roman" w:hAnsi="Times New Roman" w:cs="Times New Roman"/>
          <w:color w:val="000000"/>
          <w:sz w:val="24"/>
          <w:szCs w:val="24"/>
          <w:lang w:val="en-US"/>
        </w:rPr>
        <w:t>AUC</w:t>
      </w:r>
      <w:r w:rsidRPr="00E22DDB">
        <w:rPr>
          <w:rFonts w:ascii="Times New Roman" w:eastAsia="Times New Roman" w:hAnsi="Times New Roman" w:cs="Times New Roman"/>
          <w:color w:val="000000"/>
          <w:sz w:val="24"/>
          <w:szCs w:val="24"/>
        </w:rPr>
        <w:t xml:space="preserve"> пиоглитазона на 46%, и снижению </w:t>
      </w:r>
      <w:r w:rsidRPr="00E22DDB">
        <w:rPr>
          <w:rFonts w:ascii="Times New Roman" w:eastAsia="Times New Roman" w:hAnsi="Times New Roman" w:cs="Times New Roman"/>
          <w:color w:val="000000"/>
          <w:sz w:val="24"/>
          <w:szCs w:val="24"/>
          <w:lang w:val="en-US"/>
        </w:rPr>
        <w:t>AUC</w:t>
      </w:r>
      <w:r w:rsidRPr="00E22DDB">
        <w:rPr>
          <w:rFonts w:ascii="Times New Roman" w:eastAsia="Times New Roman" w:hAnsi="Times New Roman" w:cs="Times New Roman"/>
          <w:color w:val="000000"/>
          <w:sz w:val="24"/>
          <w:szCs w:val="24"/>
        </w:rPr>
        <w:t xml:space="preserve"> каждого активного метаболита пиоглитазона M-III и M-IV на 10%.</w:t>
      </w:r>
    </w:p>
    <w:p w14:paraId="38F628F1" w14:textId="77888628" w:rsidR="00742A66" w:rsidRPr="00E22DDB" w:rsidRDefault="00742A66" w:rsidP="00701A32">
      <w:pPr>
        <w:autoSpaceDE w:val="0"/>
        <w:autoSpaceDN w:val="0"/>
        <w:spacing w:after="0" w:line="240" w:lineRule="auto"/>
        <w:jc w:val="both"/>
        <w:rPr>
          <w:rFonts w:ascii="Times New Roman" w:eastAsia="Times New Roman" w:hAnsi="Times New Roman" w:cs="Times New Roman"/>
          <w:color w:val="000000"/>
          <w:sz w:val="24"/>
          <w:szCs w:val="24"/>
        </w:rPr>
      </w:pPr>
      <w:r w:rsidRPr="00E22DDB">
        <w:rPr>
          <w:rFonts w:ascii="Times New Roman" w:eastAsia="Times New Roman" w:hAnsi="Times New Roman" w:cs="Times New Roman"/>
          <w:color w:val="000000"/>
          <w:sz w:val="24"/>
          <w:szCs w:val="24"/>
        </w:rPr>
        <w:t>Хотя полученные результаты показывают, что клинически значимого увеличения в экспозиции не ожидается, при совместном применении препарата Бидирон</w:t>
      </w:r>
      <w:r w:rsidRPr="00E22DDB">
        <w:rPr>
          <w:rFonts w:ascii="Times New Roman" w:eastAsia="Times New Roman" w:hAnsi="Times New Roman" w:cs="Times New Roman"/>
          <w:sz w:val="24"/>
          <w:szCs w:val="24"/>
          <w:vertAlign w:val="superscript"/>
        </w:rPr>
        <w:t xml:space="preserve"> </w:t>
      </w:r>
      <w:r w:rsidRPr="00E22DDB">
        <w:rPr>
          <w:rFonts w:ascii="Times New Roman" w:eastAsia="Times New Roman" w:hAnsi="Times New Roman" w:cs="Times New Roman"/>
          <w:color w:val="000000"/>
          <w:sz w:val="24"/>
          <w:szCs w:val="24"/>
        </w:rPr>
        <w:t xml:space="preserve"> с препаратами, преимущественно выводящимися CYP2C8, необходимо наблюдение на наличие признаков токсичности, связанных с субстратами CYP2C8, имеющих узкий терапевтический индекс</w:t>
      </w:r>
      <w:r w:rsidR="00A472D2" w:rsidRPr="00E22DDB">
        <w:rPr>
          <w:rFonts w:ascii="Times New Roman" w:eastAsia="Times New Roman" w:hAnsi="Times New Roman" w:cs="Times New Roman"/>
          <w:color w:val="000000"/>
          <w:sz w:val="24"/>
          <w:szCs w:val="24"/>
        </w:rPr>
        <w:t xml:space="preserve"> (см. раздел 4.4)</w:t>
      </w:r>
      <w:r w:rsidRPr="00E22DDB">
        <w:rPr>
          <w:rFonts w:ascii="Times New Roman" w:eastAsia="Times New Roman" w:hAnsi="Times New Roman" w:cs="Times New Roman"/>
          <w:color w:val="000000"/>
          <w:sz w:val="24"/>
          <w:szCs w:val="24"/>
        </w:rPr>
        <w:t>.</w:t>
      </w:r>
    </w:p>
    <w:p w14:paraId="568D70A1" w14:textId="77777777" w:rsidR="00742A66" w:rsidRPr="00E22DDB" w:rsidRDefault="00742A66" w:rsidP="00701A32">
      <w:pPr>
        <w:autoSpaceDE w:val="0"/>
        <w:autoSpaceDN w:val="0"/>
        <w:spacing w:after="0" w:line="240" w:lineRule="auto"/>
        <w:jc w:val="both"/>
        <w:rPr>
          <w:rFonts w:ascii="Times New Roman" w:eastAsia="Times New Roman" w:hAnsi="Times New Roman" w:cs="Times New Roman"/>
          <w:color w:val="000000"/>
          <w:sz w:val="24"/>
          <w:szCs w:val="24"/>
        </w:rPr>
      </w:pPr>
      <w:r w:rsidRPr="00E22DDB">
        <w:rPr>
          <w:rFonts w:ascii="Times New Roman" w:eastAsia="Times New Roman" w:hAnsi="Times New Roman" w:cs="Times New Roman"/>
          <w:i/>
          <w:color w:val="000000"/>
          <w:sz w:val="24"/>
          <w:szCs w:val="24"/>
          <w:lang w:val="en-US"/>
        </w:rPr>
        <w:t>In</w:t>
      </w:r>
      <w:r w:rsidRPr="00E22DDB">
        <w:rPr>
          <w:rFonts w:ascii="Times New Roman" w:eastAsia="Times New Roman" w:hAnsi="Times New Roman" w:cs="Times New Roman"/>
          <w:i/>
          <w:color w:val="000000"/>
          <w:sz w:val="24"/>
          <w:szCs w:val="24"/>
        </w:rPr>
        <w:t xml:space="preserve"> </w:t>
      </w:r>
      <w:r w:rsidRPr="00E22DDB">
        <w:rPr>
          <w:rFonts w:ascii="Times New Roman" w:eastAsia="Times New Roman" w:hAnsi="Times New Roman" w:cs="Times New Roman"/>
          <w:i/>
          <w:color w:val="000000"/>
          <w:sz w:val="24"/>
          <w:szCs w:val="24"/>
          <w:lang w:val="en-US"/>
        </w:rPr>
        <w:t>vitro</w:t>
      </w:r>
      <w:r w:rsidRPr="00E22DDB">
        <w:rPr>
          <w:rFonts w:ascii="Times New Roman" w:eastAsia="Times New Roman" w:hAnsi="Times New Roman" w:cs="Times New Roman"/>
          <w:i/>
          <w:color w:val="000000"/>
          <w:sz w:val="24"/>
          <w:szCs w:val="24"/>
        </w:rPr>
        <w:t xml:space="preserve">, </w:t>
      </w:r>
      <w:r w:rsidRPr="00E22DDB">
        <w:rPr>
          <w:rFonts w:ascii="Times New Roman" w:eastAsia="Times New Roman" w:hAnsi="Times New Roman" w:cs="Times New Roman"/>
          <w:color w:val="000000"/>
          <w:sz w:val="24"/>
          <w:szCs w:val="24"/>
        </w:rPr>
        <w:t>основные метаболиты абиратерона сульфата и N-оксид абиратерона сульфата ингибируют переносчик печеночного захвата OATP1B1 и, как следствие, могут привести к увеличению концентрации лекарственных средств, которые выводятся OATP1B1. Клинические данные, подтверждающие взаимодействия, основанные на переносе, отсутствуют.</w:t>
      </w:r>
    </w:p>
    <w:p w14:paraId="0B26AA7B" w14:textId="77777777" w:rsidR="00742A66" w:rsidRPr="00E22DDB" w:rsidRDefault="00742A66" w:rsidP="00701A32">
      <w:pPr>
        <w:autoSpaceDE w:val="0"/>
        <w:autoSpaceDN w:val="0"/>
        <w:spacing w:after="0" w:line="240" w:lineRule="auto"/>
        <w:jc w:val="both"/>
        <w:rPr>
          <w:rFonts w:ascii="Times New Roman" w:eastAsia="Times New Roman" w:hAnsi="Times New Roman" w:cs="Times New Roman"/>
          <w:i/>
          <w:color w:val="000000"/>
          <w:sz w:val="24"/>
          <w:szCs w:val="24"/>
        </w:rPr>
      </w:pPr>
      <w:r w:rsidRPr="00E22DDB">
        <w:rPr>
          <w:rFonts w:ascii="Times New Roman" w:eastAsia="Times New Roman" w:hAnsi="Times New Roman" w:cs="Times New Roman"/>
          <w:i/>
          <w:color w:val="000000"/>
          <w:sz w:val="24"/>
          <w:szCs w:val="24"/>
        </w:rPr>
        <w:t>Применение с препаратами, удлиняющими интервал QT</w:t>
      </w:r>
    </w:p>
    <w:p w14:paraId="6566E9ED" w14:textId="77777777" w:rsidR="00742A66" w:rsidRPr="00E22DDB" w:rsidRDefault="00742A66" w:rsidP="00701A32">
      <w:pPr>
        <w:autoSpaceDE w:val="0"/>
        <w:autoSpaceDN w:val="0"/>
        <w:spacing w:after="0" w:line="240" w:lineRule="auto"/>
        <w:jc w:val="both"/>
        <w:rPr>
          <w:rFonts w:ascii="Times New Roman" w:eastAsia="Times New Roman" w:hAnsi="Times New Roman" w:cs="Times New Roman"/>
          <w:color w:val="000000"/>
          <w:sz w:val="24"/>
          <w:szCs w:val="24"/>
        </w:rPr>
      </w:pPr>
      <w:r w:rsidRPr="00E22DDB">
        <w:rPr>
          <w:rFonts w:ascii="Times New Roman" w:eastAsia="Times New Roman" w:hAnsi="Times New Roman" w:cs="Times New Roman"/>
          <w:color w:val="000000"/>
          <w:sz w:val="24"/>
          <w:szCs w:val="24"/>
        </w:rPr>
        <w:t>Поскольку антиандрогенная терапия может привести к удлинению интервала QT, рекомендуется соблюдать осторожность при совместном применении препарата Бидирон с лекарственными средствами, удлиняющими интервал QT или лекарственными средствами способными вызывать желудочковую тахикардию по типу «пируэт», таких как, антиаритмические лекарственные средства класса IA (например, хинидин, дизопирамид) или класса III (например, амиодарон, соталол, дофетилид, ибутилид), метадон, моксифлоксацин, антипсихотические препараты и др.</w:t>
      </w:r>
    </w:p>
    <w:p w14:paraId="3829209C" w14:textId="77777777" w:rsidR="00742A66" w:rsidRPr="00E22DDB" w:rsidRDefault="00742A66" w:rsidP="00701A32">
      <w:pPr>
        <w:autoSpaceDE w:val="0"/>
        <w:autoSpaceDN w:val="0"/>
        <w:spacing w:after="0" w:line="240" w:lineRule="auto"/>
        <w:jc w:val="both"/>
        <w:rPr>
          <w:rFonts w:ascii="Times New Roman" w:eastAsia="Times New Roman" w:hAnsi="Times New Roman" w:cs="Times New Roman"/>
          <w:i/>
          <w:color w:val="000000"/>
          <w:sz w:val="24"/>
          <w:szCs w:val="24"/>
        </w:rPr>
      </w:pPr>
      <w:r w:rsidRPr="00E22DDB">
        <w:rPr>
          <w:rFonts w:ascii="Times New Roman" w:eastAsia="Times New Roman" w:hAnsi="Times New Roman" w:cs="Times New Roman"/>
          <w:i/>
          <w:color w:val="000000"/>
          <w:sz w:val="24"/>
          <w:szCs w:val="24"/>
        </w:rPr>
        <w:t>Применение со спиронолактоном</w:t>
      </w:r>
    </w:p>
    <w:p w14:paraId="1CD4CFA6" w14:textId="230882F5" w:rsidR="0068480B" w:rsidRPr="00E22DDB" w:rsidRDefault="00742A66" w:rsidP="0068480B">
      <w:pPr>
        <w:autoSpaceDE w:val="0"/>
        <w:autoSpaceDN w:val="0"/>
        <w:spacing w:after="0" w:line="240" w:lineRule="auto"/>
        <w:jc w:val="both"/>
        <w:rPr>
          <w:rFonts w:ascii="Times New Roman" w:eastAsia="Times New Roman" w:hAnsi="Times New Roman" w:cs="Times New Roman"/>
          <w:color w:val="000000"/>
          <w:sz w:val="24"/>
          <w:szCs w:val="24"/>
        </w:rPr>
      </w:pPr>
      <w:r w:rsidRPr="00E22DDB">
        <w:rPr>
          <w:rFonts w:ascii="Times New Roman" w:eastAsia="Times New Roman" w:hAnsi="Times New Roman" w:cs="Times New Roman"/>
          <w:color w:val="000000"/>
          <w:sz w:val="24"/>
          <w:szCs w:val="24"/>
        </w:rPr>
        <w:lastRenderedPageBreak/>
        <w:t>Спиронолактон связывается с рецепторами андрогенов и может увеличить уровни простат-специфического антигена (ПСА). Применение спиронолактона с препаратом Бидирон</w:t>
      </w:r>
      <w:r w:rsidRPr="00E22DDB">
        <w:rPr>
          <w:rFonts w:ascii="Times New Roman" w:eastAsia="Times New Roman" w:hAnsi="Times New Roman" w:cs="Times New Roman"/>
          <w:sz w:val="24"/>
          <w:szCs w:val="24"/>
          <w:vertAlign w:val="superscript"/>
        </w:rPr>
        <w:t xml:space="preserve"> </w:t>
      </w:r>
      <w:r w:rsidRPr="00E22DDB">
        <w:rPr>
          <w:rFonts w:ascii="Times New Roman" w:eastAsia="Times New Roman" w:hAnsi="Times New Roman" w:cs="Times New Roman"/>
          <w:color w:val="000000"/>
          <w:sz w:val="24"/>
          <w:szCs w:val="24"/>
        </w:rPr>
        <w:t>не рекомендуется</w:t>
      </w:r>
      <w:r w:rsidR="00A472D2" w:rsidRPr="00E22DDB">
        <w:rPr>
          <w:rFonts w:ascii="Times New Roman" w:eastAsia="Times New Roman" w:hAnsi="Times New Roman" w:cs="Times New Roman"/>
          <w:color w:val="000000"/>
          <w:sz w:val="24"/>
          <w:szCs w:val="24"/>
        </w:rPr>
        <w:t xml:space="preserve"> (см. раздел 5.1)</w:t>
      </w:r>
      <w:r w:rsidRPr="00E22DDB">
        <w:rPr>
          <w:rFonts w:ascii="Times New Roman" w:eastAsia="Times New Roman" w:hAnsi="Times New Roman" w:cs="Times New Roman"/>
          <w:color w:val="000000"/>
          <w:sz w:val="24"/>
          <w:szCs w:val="24"/>
        </w:rPr>
        <w:t>.</w:t>
      </w:r>
    </w:p>
    <w:p w14:paraId="2B2ED804" w14:textId="77777777" w:rsidR="0068480B" w:rsidRPr="00E22DDB" w:rsidRDefault="0068480B" w:rsidP="0068480B">
      <w:pPr>
        <w:autoSpaceDE w:val="0"/>
        <w:autoSpaceDN w:val="0"/>
        <w:spacing w:after="0" w:line="240" w:lineRule="auto"/>
        <w:jc w:val="both"/>
        <w:rPr>
          <w:rFonts w:ascii="Times New Roman" w:hAnsi="Times New Roman" w:cs="Times New Roman"/>
          <w:sz w:val="24"/>
          <w:szCs w:val="24"/>
        </w:rPr>
      </w:pPr>
    </w:p>
    <w:p w14:paraId="3F21DA95" w14:textId="77777777" w:rsidR="009C166C" w:rsidRPr="00E22DDB" w:rsidRDefault="00E015F8" w:rsidP="0068480B">
      <w:pPr>
        <w:autoSpaceDE w:val="0"/>
        <w:autoSpaceDN w:val="0"/>
        <w:spacing w:after="0" w:line="240" w:lineRule="auto"/>
        <w:jc w:val="both"/>
        <w:rPr>
          <w:rFonts w:ascii="Times New Roman" w:eastAsia="Times New Roman" w:hAnsi="Times New Roman" w:cs="Times New Roman"/>
          <w:b/>
          <w:color w:val="000000"/>
          <w:sz w:val="24"/>
          <w:szCs w:val="24"/>
        </w:rPr>
      </w:pPr>
      <w:r w:rsidRPr="00E22DDB">
        <w:rPr>
          <w:rFonts w:ascii="Times New Roman" w:hAnsi="Times New Roman" w:cs="Times New Roman"/>
          <w:b/>
          <w:sz w:val="24"/>
          <w:szCs w:val="24"/>
        </w:rPr>
        <w:t>4.6. Фертил</w:t>
      </w:r>
      <w:r w:rsidR="0068480B" w:rsidRPr="00E22DDB">
        <w:rPr>
          <w:rFonts w:ascii="Times New Roman" w:hAnsi="Times New Roman" w:cs="Times New Roman"/>
          <w:b/>
          <w:sz w:val="24"/>
          <w:szCs w:val="24"/>
        </w:rPr>
        <w:t>ьность, беременность и лактация</w:t>
      </w:r>
    </w:p>
    <w:p w14:paraId="10CB6AC3" w14:textId="77777777" w:rsidR="0003407C" w:rsidRPr="00E22DDB" w:rsidRDefault="0003407C" w:rsidP="00701A32">
      <w:pPr>
        <w:spacing w:after="0" w:line="240" w:lineRule="auto"/>
        <w:jc w:val="both"/>
        <w:rPr>
          <w:rFonts w:ascii="Times New Roman" w:eastAsia="Calibri" w:hAnsi="Times New Roman" w:cs="Times New Roman"/>
          <w:i/>
          <w:iCs/>
          <w:sz w:val="24"/>
          <w:szCs w:val="24"/>
        </w:rPr>
      </w:pPr>
      <w:r w:rsidRPr="00E22DDB">
        <w:rPr>
          <w:rFonts w:ascii="Times New Roman" w:eastAsia="Calibri" w:hAnsi="Times New Roman" w:cs="Times New Roman"/>
          <w:i/>
          <w:iCs/>
          <w:sz w:val="24"/>
          <w:szCs w:val="24"/>
        </w:rPr>
        <w:t>Беременность</w:t>
      </w:r>
    </w:p>
    <w:p w14:paraId="66CB6C24" w14:textId="77777777" w:rsidR="00742A66" w:rsidRPr="00E22DDB" w:rsidRDefault="00742A66" w:rsidP="0079444A">
      <w:pPr>
        <w:spacing w:after="0" w:line="240" w:lineRule="auto"/>
        <w:jc w:val="both"/>
        <w:rPr>
          <w:rFonts w:ascii="Times New Roman" w:eastAsia="Calibri" w:hAnsi="Times New Roman" w:cs="Times New Roman"/>
          <w:sz w:val="24"/>
          <w:szCs w:val="24"/>
        </w:rPr>
      </w:pPr>
      <w:bookmarkStart w:id="12" w:name="_Hlk178756410"/>
      <w:r w:rsidRPr="00E22DDB">
        <w:rPr>
          <w:rFonts w:ascii="Times New Roman" w:eastAsia="Calibri" w:hAnsi="Times New Roman" w:cs="Times New Roman"/>
          <w:sz w:val="24"/>
          <w:szCs w:val="24"/>
        </w:rPr>
        <w:t>Препарат Бидирон не предназначен для применения у женщин. Абиратерона ацетат противопоказан беременным женщинам или женщинам с вероятной беременностью.</w:t>
      </w:r>
    </w:p>
    <w:bookmarkEnd w:id="12"/>
    <w:p w14:paraId="25008EDA" w14:textId="77777777" w:rsidR="0003407C" w:rsidRPr="00E22DDB" w:rsidRDefault="0003407C" w:rsidP="00701A32">
      <w:pPr>
        <w:spacing w:after="0" w:line="240" w:lineRule="auto"/>
        <w:rPr>
          <w:rFonts w:ascii="Times New Roman" w:eastAsia="Calibri" w:hAnsi="Times New Roman" w:cs="Times New Roman"/>
          <w:i/>
          <w:sz w:val="24"/>
          <w:szCs w:val="24"/>
        </w:rPr>
      </w:pPr>
      <w:r w:rsidRPr="00E22DDB">
        <w:rPr>
          <w:rFonts w:ascii="Times New Roman" w:eastAsia="Calibri" w:hAnsi="Times New Roman" w:cs="Times New Roman"/>
          <w:i/>
          <w:sz w:val="24"/>
          <w:szCs w:val="24"/>
        </w:rPr>
        <w:t>Кормление грудью</w:t>
      </w:r>
    </w:p>
    <w:p w14:paraId="2174F8A5" w14:textId="77777777" w:rsidR="00057610" w:rsidRPr="00E22DDB" w:rsidRDefault="00057610" w:rsidP="00701A32">
      <w:pPr>
        <w:spacing w:after="0" w:line="240" w:lineRule="auto"/>
        <w:jc w:val="both"/>
        <w:rPr>
          <w:rFonts w:ascii="Times New Roman" w:eastAsia="Calibri" w:hAnsi="Times New Roman" w:cs="Times New Roman"/>
          <w:sz w:val="24"/>
          <w:szCs w:val="24"/>
        </w:rPr>
      </w:pPr>
      <w:bookmarkStart w:id="13" w:name="_Hlk178756429"/>
      <w:r w:rsidRPr="00E22DDB">
        <w:rPr>
          <w:rFonts w:ascii="Times New Roman" w:eastAsia="Calibri" w:hAnsi="Times New Roman" w:cs="Times New Roman"/>
          <w:sz w:val="24"/>
          <w:szCs w:val="24"/>
        </w:rPr>
        <w:t>Препарат Бидирон не предназначен для применения у женщин.</w:t>
      </w:r>
    </w:p>
    <w:bookmarkEnd w:id="13"/>
    <w:p w14:paraId="1F73954E" w14:textId="77777777" w:rsidR="00932677" w:rsidRPr="00E22DDB" w:rsidRDefault="00932677" w:rsidP="00701A32">
      <w:pPr>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Контрацепция у мужчин и женщин</w:t>
      </w:r>
    </w:p>
    <w:p w14:paraId="30339021" w14:textId="52ACD412" w:rsidR="00932677" w:rsidRPr="00E22DDB" w:rsidRDefault="00932677" w:rsidP="00701A32">
      <w:pPr>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Неизвестно, присутствует ли абиратерон или его метаболиты в сперме. Необходимо использовать презерватив, если планируется половой контакт с беременной женщиной. Если половой контакт планируется с женщиной репродуктивного возраста, необходимо использовать презерватив наряду с другими эффективными методами контрацепции</w:t>
      </w:r>
      <w:r w:rsidR="00A472D2" w:rsidRPr="00E22DDB">
        <w:rPr>
          <w:rFonts w:ascii="Times New Roman" w:eastAsia="Times New Roman" w:hAnsi="Times New Roman" w:cs="Times New Roman"/>
          <w:sz w:val="24"/>
          <w:szCs w:val="24"/>
        </w:rPr>
        <w:t>. Исследования на животных выявили токсическое влияние на репродуктивную функцию (см. раздел 5.3)</w:t>
      </w:r>
      <w:r w:rsidRPr="00E22DDB">
        <w:rPr>
          <w:rFonts w:ascii="Times New Roman" w:eastAsia="Times New Roman" w:hAnsi="Times New Roman" w:cs="Times New Roman"/>
          <w:sz w:val="24"/>
          <w:szCs w:val="24"/>
        </w:rPr>
        <w:t xml:space="preserve">. </w:t>
      </w:r>
    </w:p>
    <w:p w14:paraId="4B50A8E1" w14:textId="32EC8F01" w:rsidR="00A472D2" w:rsidRPr="00E22DDB" w:rsidRDefault="00A472D2" w:rsidP="00701A32">
      <w:pPr>
        <w:autoSpaceDE w:val="0"/>
        <w:autoSpaceDN w:val="0"/>
        <w:adjustRightInd w:val="0"/>
        <w:spacing w:after="0" w:line="240" w:lineRule="auto"/>
        <w:jc w:val="both"/>
        <w:rPr>
          <w:rFonts w:ascii="Times New Roman" w:eastAsia="Times New Roman" w:hAnsi="Times New Roman" w:cs="Times New Roman"/>
          <w:i/>
          <w:iCs/>
          <w:sz w:val="24"/>
          <w:szCs w:val="24"/>
        </w:rPr>
      </w:pPr>
      <w:r w:rsidRPr="00E22DDB">
        <w:rPr>
          <w:rFonts w:ascii="Times New Roman" w:eastAsia="Times New Roman" w:hAnsi="Times New Roman" w:cs="Times New Roman"/>
          <w:i/>
          <w:iCs/>
          <w:sz w:val="24"/>
          <w:szCs w:val="24"/>
        </w:rPr>
        <w:t>Фертильность</w:t>
      </w:r>
    </w:p>
    <w:p w14:paraId="555D442A" w14:textId="32963BD6" w:rsidR="00A472D2" w:rsidRPr="00E22DDB" w:rsidRDefault="00A472D2" w:rsidP="00701A32">
      <w:pPr>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Абиратерона ацетат оказывал влияние на фертильность самцов и самок крыс, но эти эффекты были полностью обратимыми (см. раздел 5.3).</w:t>
      </w:r>
    </w:p>
    <w:p w14:paraId="452CFDB5" w14:textId="77777777" w:rsidR="00E015F8" w:rsidRPr="00E22DDB" w:rsidRDefault="00E015F8" w:rsidP="0068480B">
      <w:pPr>
        <w:spacing w:before="240"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4.7. Влияние на способность управлять транспортными сред</w:t>
      </w:r>
      <w:r w:rsidR="0068480B" w:rsidRPr="00E22DDB">
        <w:rPr>
          <w:rFonts w:ascii="Times New Roman" w:hAnsi="Times New Roman" w:cs="Times New Roman"/>
          <w:b/>
          <w:sz w:val="24"/>
          <w:szCs w:val="24"/>
        </w:rPr>
        <w:t>ствами и работать с механизмами</w:t>
      </w:r>
    </w:p>
    <w:p w14:paraId="6A0DD9AD" w14:textId="77777777" w:rsidR="0068480B" w:rsidRPr="00E22DDB" w:rsidRDefault="00BC6C18" w:rsidP="0068480B">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Препарат Бидирон не оказывает неблагоприятного влияния на способность управлять транспортным средством или потенциально опасными механизмами.</w:t>
      </w:r>
    </w:p>
    <w:p w14:paraId="3064A248" w14:textId="77777777" w:rsidR="0068480B" w:rsidRPr="00E22DDB" w:rsidRDefault="0068480B" w:rsidP="0068480B">
      <w:pPr>
        <w:spacing w:after="0" w:line="240" w:lineRule="auto"/>
        <w:jc w:val="both"/>
        <w:rPr>
          <w:rFonts w:ascii="Times New Roman" w:hAnsi="Times New Roman" w:cs="Times New Roman"/>
          <w:sz w:val="24"/>
          <w:szCs w:val="24"/>
        </w:rPr>
      </w:pPr>
    </w:p>
    <w:p w14:paraId="1FB2753B" w14:textId="77777777" w:rsidR="00055682" w:rsidRPr="00E22DDB" w:rsidRDefault="0068480B" w:rsidP="0068480B">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4.8. Нежелательные реакции</w:t>
      </w:r>
    </w:p>
    <w:p w14:paraId="1C482071" w14:textId="77777777" w:rsidR="00257401" w:rsidRPr="00E22DDB" w:rsidRDefault="00257401" w:rsidP="00701A32">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При анализе побочных реакций комбинированных исследований 3 фазы  с препаратом </w:t>
      </w:r>
      <w:r w:rsidR="00A54751" w:rsidRPr="00E22DDB">
        <w:rPr>
          <w:rFonts w:ascii="Times New Roman" w:eastAsia="TimesNewRoman" w:hAnsi="Times New Roman" w:cs="Times New Roman"/>
          <w:sz w:val="24"/>
          <w:szCs w:val="24"/>
        </w:rPr>
        <w:t>Бидирон</w:t>
      </w:r>
      <w:r w:rsidRPr="00E22DDB">
        <w:rPr>
          <w:rFonts w:ascii="Times New Roman" w:eastAsia="Times New Roman" w:hAnsi="Times New Roman" w:cs="Times New Roman"/>
          <w:sz w:val="24"/>
          <w:szCs w:val="24"/>
        </w:rPr>
        <w:t xml:space="preserve"> у 10% пациентов отмечались следующие побочные реакции: периферический отек, гипокалиемия, гипертензия, инфекция мочеполовых органов, повышение уровней аланинаминотрансферазы и/или аспартатаминотрансферазы. </w:t>
      </w:r>
      <w:r w:rsidRPr="00E22DDB">
        <w:rPr>
          <w:rFonts w:ascii="Times New Roman" w:eastAsia="TimesNewRoman" w:hAnsi="Times New Roman" w:cs="Times New Roman"/>
          <w:sz w:val="24"/>
          <w:szCs w:val="24"/>
        </w:rPr>
        <w:t>Другие важные побочные действия включают нарушения со стороны сердца, гепатотоксичность, переломы и аллергический альвеолит.</w:t>
      </w:r>
    </w:p>
    <w:p w14:paraId="49337652" w14:textId="7E3AB35E" w:rsidR="007566D8" w:rsidRPr="00E22DDB" w:rsidRDefault="00A54751" w:rsidP="00701A32">
      <w:pPr>
        <w:spacing w:after="0" w:line="240" w:lineRule="auto"/>
        <w:jc w:val="both"/>
        <w:rPr>
          <w:rFonts w:ascii="Times New Roman" w:eastAsia="TimesNewRoman" w:hAnsi="Times New Roman" w:cs="Times New Roman"/>
          <w:sz w:val="24"/>
          <w:szCs w:val="24"/>
        </w:rPr>
      </w:pPr>
      <w:r w:rsidRPr="00E22DDB">
        <w:rPr>
          <w:rFonts w:ascii="Times New Roman" w:eastAsia="TimesNewRoman" w:hAnsi="Times New Roman" w:cs="Times New Roman"/>
          <w:sz w:val="24"/>
          <w:szCs w:val="24"/>
        </w:rPr>
        <w:t>Бидирон</w:t>
      </w:r>
      <w:r w:rsidR="00257401" w:rsidRPr="00E22DDB">
        <w:rPr>
          <w:rFonts w:ascii="Times New Roman" w:eastAsia="TimesNewRoman" w:hAnsi="Times New Roman" w:cs="Times New Roman"/>
          <w:sz w:val="24"/>
          <w:szCs w:val="24"/>
        </w:rPr>
        <w:t xml:space="preserve"> может стать причиной гипертензии, гипокалиемии и задержки жидкости как фармакодинамического следствия его механизма действия. В исследованиях 3 фазы, ожидаемые минералокортикоидные побочные реакции чаще встречались у пациентов, получавших абиратерона ацетат, по сравнению с пациентами, получавшими плацебо: гипокалиемия 18% против 8%, гипертензия 22% против 16%, задержка жидкости (периферические отеки) 23% против 17%, соответственно. </w:t>
      </w:r>
    </w:p>
    <w:p w14:paraId="2D001D0D" w14:textId="2AC5D8DA" w:rsidR="007566D8" w:rsidRPr="00E22DDB" w:rsidRDefault="007566D8" w:rsidP="00701A32">
      <w:pPr>
        <w:spacing w:after="0" w:line="240" w:lineRule="auto"/>
        <w:jc w:val="both"/>
        <w:rPr>
          <w:rFonts w:ascii="Times New Roman" w:eastAsia="TimesNewRoman" w:hAnsi="Times New Roman" w:cs="Times New Roman"/>
          <w:sz w:val="24"/>
          <w:szCs w:val="24"/>
        </w:rPr>
      </w:pPr>
      <w:r w:rsidRPr="00E22DDB">
        <w:rPr>
          <w:rFonts w:ascii="Times New Roman" w:eastAsia="TimesNewRoman" w:hAnsi="Times New Roman" w:cs="Times New Roman"/>
          <w:sz w:val="24"/>
          <w:szCs w:val="24"/>
        </w:rPr>
        <w:t>У пациентов, получавших абиратерона ацетат, по сравнению с пациентами, получавшими плацебо: CTCAE (версия 4.0) гипокалиемия 3 и 4 степени наблюдалась в 6% против 1%, CTCAE (версия 4.0) гипертензия 3 и 4 степени наблюдалась в 7% против 5%, и задержка жидкости (периферические отеки). 3 и 4 степени наблюдались у 1% и 1% пациентов соответственно.</w:t>
      </w:r>
    </w:p>
    <w:p w14:paraId="161157E2" w14:textId="26F67DBF" w:rsidR="00257401" w:rsidRPr="00E22DDB" w:rsidRDefault="00257401" w:rsidP="00701A32">
      <w:pPr>
        <w:spacing w:after="0" w:line="240" w:lineRule="auto"/>
        <w:jc w:val="both"/>
        <w:rPr>
          <w:rFonts w:ascii="Times New Roman" w:eastAsia="TimesNewRoman" w:hAnsi="Times New Roman" w:cs="Times New Roman"/>
          <w:sz w:val="24"/>
          <w:szCs w:val="24"/>
        </w:rPr>
      </w:pPr>
      <w:r w:rsidRPr="00E22DDB">
        <w:rPr>
          <w:rFonts w:ascii="Times New Roman" w:eastAsia="TimesNewRoman" w:hAnsi="Times New Roman" w:cs="Times New Roman"/>
          <w:sz w:val="24"/>
          <w:szCs w:val="24"/>
        </w:rPr>
        <w:t>Минералокортикоидные реакции, как правило, легко разрешались при соответствующем лечении. Одновременное применение с кортикостероидами уменьшает частоту и тяжесть этих побочных реакций</w:t>
      </w:r>
      <w:r w:rsidR="000F519A" w:rsidRPr="00E22DDB">
        <w:rPr>
          <w:rFonts w:ascii="Times New Roman" w:eastAsia="TimesNewRoman" w:hAnsi="Times New Roman" w:cs="Times New Roman"/>
          <w:sz w:val="24"/>
          <w:szCs w:val="24"/>
        </w:rPr>
        <w:t xml:space="preserve"> (см. раздел 4.4).</w:t>
      </w:r>
      <w:r w:rsidRPr="00E22DDB">
        <w:rPr>
          <w:rFonts w:ascii="Times New Roman" w:eastAsia="TimesNewRoman" w:hAnsi="Times New Roman" w:cs="Times New Roman"/>
          <w:sz w:val="24"/>
          <w:szCs w:val="24"/>
        </w:rPr>
        <w:t xml:space="preserve"> </w:t>
      </w:r>
    </w:p>
    <w:p w14:paraId="326541DC" w14:textId="77777777" w:rsidR="00257401" w:rsidRPr="00E22DDB" w:rsidRDefault="00257401" w:rsidP="00701A32">
      <w:pPr>
        <w:spacing w:after="0" w:line="240" w:lineRule="auto"/>
        <w:jc w:val="both"/>
        <w:rPr>
          <w:rFonts w:ascii="Times New Roman" w:eastAsia="TimesNewRoman" w:hAnsi="Times New Roman" w:cs="Times New Roman"/>
          <w:sz w:val="24"/>
          <w:szCs w:val="24"/>
        </w:rPr>
      </w:pPr>
      <w:r w:rsidRPr="00E22DDB">
        <w:rPr>
          <w:rFonts w:ascii="Times New Roman" w:eastAsia="TimesNewRoman" w:hAnsi="Times New Roman" w:cs="Times New Roman"/>
          <w:sz w:val="24"/>
          <w:szCs w:val="24"/>
        </w:rPr>
        <w:t xml:space="preserve">В исследованиях у пациентов с прогрессирующим метастатическим раком предстательной железы, которые применяли аналог лютеинизирующего гормона рилизинг-гормон (ЛГРГ), или с ранее проведенной орхиэктомией, препарат </w:t>
      </w:r>
      <w:r w:rsidR="00A54751" w:rsidRPr="00E22DDB">
        <w:rPr>
          <w:rFonts w:ascii="Times New Roman" w:eastAsia="TimesNewRoman" w:hAnsi="Times New Roman" w:cs="Times New Roman"/>
          <w:sz w:val="24"/>
          <w:szCs w:val="24"/>
        </w:rPr>
        <w:t>Бидирон</w:t>
      </w:r>
      <w:r w:rsidRPr="00E22DDB">
        <w:rPr>
          <w:rFonts w:ascii="Times New Roman" w:eastAsia="TimesNewRoman" w:hAnsi="Times New Roman" w:cs="Times New Roman"/>
          <w:sz w:val="24"/>
          <w:szCs w:val="24"/>
        </w:rPr>
        <w:t xml:space="preserve"> применялся в дозе 1000 мг в день в сочетании с низкой дозой преднизона или преднизолона (5 или 10 мг в день,</w:t>
      </w:r>
      <w:r w:rsidRPr="00E22DDB">
        <w:rPr>
          <w:rFonts w:ascii="Times New Roman" w:eastAsia="Times New Roman" w:hAnsi="Times New Roman" w:cs="Times New Roman"/>
          <w:sz w:val="24"/>
          <w:szCs w:val="24"/>
        </w:rPr>
        <w:t xml:space="preserve"> </w:t>
      </w:r>
      <w:r w:rsidRPr="00E22DDB">
        <w:rPr>
          <w:rFonts w:ascii="Times New Roman" w:eastAsia="TimesNewRoman" w:hAnsi="Times New Roman" w:cs="Times New Roman"/>
          <w:sz w:val="24"/>
          <w:szCs w:val="24"/>
        </w:rPr>
        <w:t>в зависимости от показания).</w:t>
      </w:r>
    </w:p>
    <w:p w14:paraId="719C56B5" w14:textId="77777777" w:rsidR="00257401" w:rsidRPr="00E22DDB" w:rsidRDefault="00257401" w:rsidP="00701A32">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lastRenderedPageBreak/>
        <w:t>Нежелательные реакции, наблюдавшиеся во время клинических исследований и при пост-маркетинговом применении, систематизированы относительно каждой из систем органов с использованием следующей классификации частоты встречаемости:</w:t>
      </w:r>
      <w:r w:rsidR="006072EB" w:rsidRPr="00E22DDB">
        <w:rPr>
          <w:rFonts w:ascii="Times New Roman" w:eastAsia="Times New Roman" w:hAnsi="Times New Roman" w:cs="Times New Roman"/>
          <w:sz w:val="24"/>
          <w:szCs w:val="24"/>
        </w:rPr>
        <w:t xml:space="preserve"> очень часто (≥1/10), часто (от </w:t>
      </w:r>
      <w:r w:rsidRPr="00E22DDB">
        <w:rPr>
          <w:rFonts w:ascii="Times New Roman" w:eastAsia="Times New Roman" w:hAnsi="Times New Roman" w:cs="Times New Roman"/>
          <w:sz w:val="24"/>
          <w:szCs w:val="24"/>
        </w:rPr>
        <w:t>≥1/100 до &lt;1/10), нечасто (от ≥1/1000 до &lt;1/100), редко (от ≥1/10000 до &lt;1/1000)</w:t>
      </w:r>
      <w:r w:rsidR="009E1899" w:rsidRPr="00E22DDB">
        <w:rPr>
          <w:rFonts w:ascii="Times New Roman" w:eastAsia="Times New Roman" w:hAnsi="Times New Roman" w:cs="Times New Roman"/>
          <w:sz w:val="24"/>
          <w:szCs w:val="24"/>
        </w:rPr>
        <w:t>,</w:t>
      </w:r>
      <w:r w:rsidRPr="00E22DDB">
        <w:rPr>
          <w:rFonts w:ascii="Times New Roman" w:eastAsia="Times New Roman" w:hAnsi="Times New Roman" w:cs="Times New Roman"/>
          <w:sz w:val="24"/>
          <w:szCs w:val="24"/>
        </w:rPr>
        <w:t xml:space="preserve"> очень редко (&lt;1/10000) и неизвестной частоты (частоту невозможно оценить из доступных данных).</w:t>
      </w:r>
    </w:p>
    <w:p w14:paraId="15B74A07" w14:textId="5942CA79" w:rsidR="00257401" w:rsidRPr="00E22DDB" w:rsidRDefault="00257401" w:rsidP="00701A32">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В пределах каждой категории частоты побочные действия представлены в порядке снижения степени тяжести.</w:t>
      </w:r>
    </w:p>
    <w:p w14:paraId="725E65BC" w14:textId="4E2C7D87" w:rsidR="000F519A" w:rsidRPr="00E22DDB" w:rsidRDefault="000F519A" w:rsidP="00701A32">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Таблица 1. Побочные реакции, выявленные в клинических исследованиях и постмаркетинговый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068"/>
      </w:tblGrid>
      <w:tr w:rsidR="00257401" w:rsidRPr="00E22DDB" w14:paraId="72138D56" w14:textId="77777777" w:rsidTr="00714245">
        <w:tc>
          <w:tcPr>
            <w:tcW w:w="4219" w:type="dxa"/>
            <w:shd w:val="clear" w:color="auto" w:fill="auto"/>
          </w:tcPr>
          <w:p w14:paraId="339FB427" w14:textId="77777777" w:rsidR="00257401" w:rsidRPr="00E22DDB" w:rsidRDefault="00257401" w:rsidP="00701A32">
            <w:pPr>
              <w:spacing w:after="0" w:line="240" w:lineRule="auto"/>
              <w:jc w:val="center"/>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Класс системы органов</w:t>
            </w:r>
          </w:p>
        </w:tc>
        <w:tc>
          <w:tcPr>
            <w:tcW w:w="5068" w:type="dxa"/>
            <w:shd w:val="clear" w:color="auto" w:fill="auto"/>
          </w:tcPr>
          <w:p w14:paraId="10CF0C32" w14:textId="77777777" w:rsidR="00257401" w:rsidRPr="00E22DDB" w:rsidRDefault="00257401" w:rsidP="00701A32">
            <w:pPr>
              <w:spacing w:after="0" w:line="240" w:lineRule="auto"/>
              <w:jc w:val="center"/>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Частота</w:t>
            </w:r>
          </w:p>
        </w:tc>
      </w:tr>
      <w:tr w:rsidR="00257401" w:rsidRPr="00E22DDB" w14:paraId="48D443D7" w14:textId="77777777" w:rsidTr="00714245">
        <w:tc>
          <w:tcPr>
            <w:tcW w:w="4219" w:type="dxa"/>
            <w:shd w:val="clear" w:color="auto" w:fill="auto"/>
          </w:tcPr>
          <w:p w14:paraId="73221EC4"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Инфекции и инфектации</w:t>
            </w:r>
          </w:p>
        </w:tc>
        <w:tc>
          <w:tcPr>
            <w:tcW w:w="5068" w:type="dxa"/>
            <w:shd w:val="clear" w:color="auto" w:fill="auto"/>
          </w:tcPr>
          <w:p w14:paraId="7F032F39" w14:textId="77777777" w:rsidR="00257401" w:rsidRPr="00E22DDB" w:rsidRDefault="00257401" w:rsidP="00D3210A">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очень часто</w:t>
            </w:r>
            <w:r w:rsidRPr="00E22DDB">
              <w:rPr>
                <w:rFonts w:ascii="Times New Roman" w:eastAsia="Times New Roman" w:hAnsi="Times New Roman" w:cs="Times New Roman"/>
                <w:sz w:val="24"/>
                <w:szCs w:val="24"/>
              </w:rPr>
              <w:t>: инфекции мочевыводящих путей</w:t>
            </w:r>
          </w:p>
          <w:p w14:paraId="38379ECF"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часто</w:t>
            </w:r>
            <w:r w:rsidRPr="00E22DDB">
              <w:rPr>
                <w:rFonts w:ascii="Times New Roman" w:eastAsia="Times New Roman" w:hAnsi="Times New Roman" w:cs="Times New Roman"/>
                <w:sz w:val="24"/>
                <w:szCs w:val="24"/>
              </w:rPr>
              <w:t>: сепсис</w:t>
            </w:r>
          </w:p>
        </w:tc>
      </w:tr>
      <w:tr w:rsidR="000F519A" w:rsidRPr="00E22DDB" w14:paraId="2440BC6B" w14:textId="77777777" w:rsidTr="00714245">
        <w:tc>
          <w:tcPr>
            <w:tcW w:w="4219" w:type="dxa"/>
            <w:shd w:val="clear" w:color="auto" w:fill="auto"/>
          </w:tcPr>
          <w:p w14:paraId="65945F1B" w14:textId="598D4E3F" w:rsidR="000F519A" w:rsidRPr="00E22DDB" w:rsidRDefault="000F519A"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Нарушения со стороны иммунной системы</w:t>
            </w:r>
          </w:p>
        </w:tc>
        <w:tc>
          <w:tcPr>
            <w:tcW w:w="5068" w:type="dxa"/>
            <w:shd w:val="clear" w:color="auto" w:fill="auto"/>
          </w:tcPr>
          <w:p w14:paraId="08118C51" w14:textId="0E20AF63" w:rsidR="000F519A" w:rsidRPr="00E22DDB" w:rsidRDefault="000F519A" w:rsidP="00701A32">
            <w:pPr>
              <w:spacing w:after="0" w:line="240" w:lineRule="auto"/>
              <w:rPr>
                <w:rFonts w:ascii="Times New Roman" w:eastAsia="Times New Roman" w:hAnsi="Times New Roman" w:cs="Times New Roman"/>
                <w:iCs/>
                <w:sz w:val="24"/>
                <w:szCs w:val="24"/>
                <w:lang w:val="en-US"/>
              </w:rPr>
            </w:pPr>
            <w:r w:rsidRPr="00E22DDB">
              <w:rPr>
                <w:rFonts w:ascii="Times New Roman" w:eastAsia="Times New Roman" w:hAnsi="Times New Roman" w:cs="Times New Roman"/>
                <w:i/>
                <w:sz w:val="24"/>
                <w:szCs w:val="24"/>
              </w:rPr>
              <w:t xml:space="preserve">неизвестно: </w:t>
            </w:r>
            <w:r w:rsidRPr="00E22DDB">
              <w:rPr>
                <w:rFonts w:ascii="Times New Roman" w:eastAsia="Times New Roman" w:hAnsi="Times New Roman" w:cs="Times New Roman"/>
                <w:iCs/>
                <w:sz w:val="24"/>
                <w:szCs w:val="24"/>
              </w:rPr>
              <w:t>анафилактические реакции</w:t>
            </w:r>
          </w:p>
        </w:tc>
      </w:tr>
      <w:tr w:rsidR="00257401" w:rsidRPr="00E22DDB" w14:paraId="42BB618D" w14:textId="77777777" w:rsidTr="00714245">
        <w:tc>
          <w:tcPr>
            <w:tcW w:w="4219" w:type="dxa"/>
            <w:shd w:val="clear" w:color="auto" w:fill="auto"/>
          </w:tcPr>
          <w:p w14:paraId="123B6461"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Эндокринные нарушения</w:t>
            </w:r>
          </w:p>
        </w:tc>
        <w:tc>
          <w:tcPr>
            <w:tcW w:w="5068" w:type="dxa"/>
            <w:shd w:val="clear" w:color="auto" w:fill="auto"/>
          </w:tcPr>
          <w:p w14:paraId="0B86857A" w14:textId="77777777" w:rsidR="00257401" w:rsidRPr="00E22DDB" w:rsidRDefault="00257401" w:rsidP="00D3210A">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нечасто</w:t>
            </w:r>
            <w:r w:rsidRPr="00E22DDB">
              <w:rPr>
                <w:rFonts w:ascii="Times New Roman" w:eastAsia="Times New Roman" w:hAnsi="Times New Roman" w:cs="Times New Roman"/>
                <w:sz w:val="24"/>
                <w:szCs w:val="24"/>
              </w:rPr>
              <w:t>: недостаточность функции надпочечников</w:t>
            </w:r>
          </w:p>
        </w:tc>
      </w:tr>
      <w:tr w:rsidR="00257401" w:rsidRPr="00E22DDB" w14:paraId="42AD1E75" w14:textId="77777777" w:rsidTr="00714245">
        <w:tc>
          <w:tcPr>
            <w:tcW w:w="4219" w:type="dxa"/>
            <w:shd w:val="clear" w:color="auto" w:fill="auto"/>
          </w:tcPr>
          <w:p w14:paraId="299A3BF6"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Нарушения со стороны метаболизма и обмена веществ</w:t>
            </w:r>
          </w:p>
        </w:tc>
        <w:tc>
          <w:tcPr>
            <w:tcW w:w="5068" w:type="dxa"/>
            <w:shd w:val="clear" w:color="auto" w:fill="auto"/>
          </w:tcPr>
          <w:p w14:paraId="1CFB08C3"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очень часто</w:t>
            </w:r>
            <w:r w:rsidRPr="00E22DDB">
              <w:rPr>
                <w:rFonts w:ascii="Times New Roman" w:eastAsia="Times New Roman" w:hAnsi="Times New Roman" w:cs="Times New Roman"/>
                <w:sz w:val="24"/>
                <w:szCs w:val="24"/>
              </w:rPr>
              <w:t>: гипокалиемия</w:t>
            </w:r>
          </w:p>
          <w:p w14:paraId="658BE3C0"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часто</w:t>
            </w:r>
            <w:r w:rsidRPr="00E22DDB">
              <w:rPr>
                <w:rFonts w:ascii="Times New Roman" w:eastAsia="Times New Roman" w:hAnsi="Times New Roman" w:cs="Times New Roman"/>
                <w:sz w:val="24"/>
                <w:szCs w:val="24"/>
              </w:rPr>
              <w:t>: гипертриглицеридемия</w:t>
            </w:r>
          </w:p>
        </w:tc>
      </w:tr>
      <w:tr w:rsidR="00257401" w:rsidRPr="00E22DDB" w14:paraId="17C44AFB" w14:textId="77777777" w:rsidTr="00714245">
        <w:tc>
          <w:tcPr>
            <w:tcW w:w="4219" w:type="dxa"/>
            <w:shd w:val="clear" w:color="auto" w:fill="auto"/>
          </w:tcPr>
          <w:p w14:paraId="067642F4"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Нарушения со стороны сердца</w:t>
            </w:r>
          </w:p>
        </w:tc>
        <w:tc>
          <w:tcPr>
            <w:tcW w:w="5068" w:type="dxa"/>
            <w:shd w:val="clear" w:color="auto" w:fill="auto"/>
          </w:tcPr>
          <w:p w14:paraId="01F332F5" w14:textId="77777777" w:rsidR="00257401" w:rsidRPr="00E22DDB" w:rsidRDefault="00257401" w:rsidP="00D3210A">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часто:</w:t>
            </w:r>
            <w:r w:rsidRPr="00E22DDB">
              <w:rPr>
                <w:rFonts w:ascii="Times New Roman" w:eastAsia="Times New Roman" w:hAnsi="Times New Roman" w:cs="Times New Roman"/>
                <w:sz w:val="24"/>
                <w:szCs w:val="24"/>
              </w:rPr>
              <w:t xml:space="preserve"> сердечная недостаточность*, стенокардия, фибрилляция предсердий, тахикардия</w:t>
            </w:r>
          </w:p>
          <w:p w14:paraId="69F689D6"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нечасто:</w:t>
            </w:r>
            <w:r w:rsidRPr="00E22DDB">
              <w:rPr>
                <w:rFonts w:ascii="Times New Roman" w:eastAsia="Times New Roman" w:hAnsi="Times New Roman" w:cs="Times New Roman"/>
                <w:sz w:val="24"/>
                <w:szCs w:val="24"/>
              </w:rPr>
              <w:t xml:space="preserve"> другие аритмии</w:t>
            </w:r>
          </w:p>
          <w:p w14:paraId="3212D6B9" w14:textId="5B6827D0" w:rsidR="00257401" w:rsidRPr="00E22DDB" w:rsidRDefault="00257401" w:rsidP="00D3210A">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неизвестно</w:t>
            </w:r>
            <w:r w:rsidRPr="00E22DDB">
              <w:rPr>
                <w:rFonts w:ascii="Times New Roman" w:eastAsia="Times New Roman" w:hAnsi="Times New Roman" w:cs="Times New Roman"/>
                <w:sz w:val="24"/>
                <w:szCs w:val="24"/>
              </w:rPr>
              <w:t xml:space="preserve">: инфаркт миокарда, удлинение интервала </w:t>
            </w:r>
            <w:r w:rsidRPr="00E22DDB">
              <w:rPr>
                <w:rFonts w:ascii="Times New Roman" w:eastAsia="Times New Roman" w:hAnsi="Times New Roman" w:cs="Times New Roman"/>
                <w:sz w:val="24"/>
                <w:szCs w:val="24"/>
                <w:lang w:val="en-US"/>
              </w:rPr>
              <w:t>QT</w:t>
            </w:r>
            <w:r w:rsidRPr="00E22DDB">
              <w:rPr>
                <w:rFonts w:ascii="Times New Roman" w:eastAsia="Times New Roman" w:hAnsi="Times New Roman" w:cs="Times New Roman"/>
                <w:sz w:val="24"/>
                <w:szCs w:val="24"/>
              </w:rPr>
              <w:t xml:space="preserve"> </w:t>
            </w:r>
            <w:r w:rsidR="000F519A" w:rsidRPr="00E22DDB">
              <w:rPr>
                <w:rFonts w:ascii="Times New Roman" w:eastAsia="Times New Roman" w:hAnsi="Times New Roman" w:cs="Times New Roman"/>
                <w:sz w:val="24"/>
                <w:szCs w:val="24"/>
              </w:rPr>
              <w:t>(см. раздел 4.4 и 4.5)</w:t>
            </w:r>
          </w:p>
        </w:tc>
      </w:tr>
      <w:tr w:rsidR="00257401" w:rsidRPr="00E22DDB" w14:paraId="7E12D068" w14:textId="77777777" w:rsidTr="00714245">
        <w:tc>
          <w:tcPr>
            <w:tcW w:w="4219" w:type="dxa"/>
            <w:shd w:val="clear" w:color="auto" w:fill="auto"/>
          </w:tcPr>
          <w:p w14:paraId="607D3581"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Сосудистые нарушения</w:t>
            </w:r>
          </w:p>
        </w:tc>
        <w:tc>
          <w:tcPr>
            <w:tcW w:w="5068" w:type="dxa"/>
            <w:shd w:val="clear" w:color="auto" w:fill="auto"/>
          </w:tcPr>
          <w:p w14:paraId="3E7A8A27"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очень часто:</w:t>
            </w:r>
            <w:r w:rsidRPr="00E22DDB">
              <w:rPr>
                <w:rFonts w:ascii="Times New Roman" w:eastAsia="Times New Roman" w:hAnsi="Times New Roman" w:cs="Times New Roman"/>
                <w:sz w:val="24"/>
                <w:szCs w:val="24"/>
              </w:rPr>
              <w:t xml:space="preserve"> гипертензия</w:t>
            </w:r>
          </w:p>
        </w:tc>
      </w:tr>
      <w:tr w:rsidR="00257401" w:rsidRPr="00E22DDB" w14:paraId="3989A5A6" w14:textId="77777777" w:rsidTr="00714245">
        <w:tc>
          <w:tcPr>
            <w:tcW w:w="4219" w:type="dxa"/>
            <w:shd w:val="clear" w:color="auto" w:fill="auto"/>
          </w:tcPr>
          <w:p w14:paraId="32D2289B"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Нарушения со стороны дыхательных путей, грудной клетки и средостения</w:t>
            </w:r>
          </w:p>
        </w:tc>
        <w:tc>
          <w:tcPr>
            <w:tcW w:w="5068" w:type="dxa"/>
            <w:shd w:val="clear" w:color="auto" w:fill="auto"/>
          </w:tcPr>
          <w:p w14:paraId="436CA1D8" w14:textId="77777777" w:rsidR="00257401" w:rsidRPr="00E22DDB" w:rsidRDefault="00257401" w:rsidP="00701A32">
            <w:pPr>
              <w:spacing w:after="0" w:line="240" w:lineRule="auto"/>
              <w:rPr>
                <w:rFonts w:ascii="Times New Roman" w:eastAsia="Times New Roman" w:hAnsi="Times New Roman" w:cs="Times New Roman"/>
                <w:sz w:val="24"/>
                <w:szCs w:val="24"/>
                <w:vertAlign w:val="superscript"/>
              </w:rPr>
            </w:pPr>
            <w:r w:rsidRPr="00E22DDB">
              <w:rPr>
                <w:rFonts w:ascii="Times New Roman" w:eastAsia="Times New Roman" w:hAnsi="Times New Roman" w:cs="Times New Roman"/>
                <w:i/>
                <w:sz w:val="24"/>
                <w:szCs w:val="24"/>
              </w:rPr>
              <w:t>редко</w:t>
            </w:r>
            <w:r w:rsidRPr="00E22DDB">
              <w:rPr>
                <w:rFonts w:ascii="Times New Roman" w:eastAsia="Times New Roman" w:hAnsi="Times New Roman" w:cs="Times New Roman"/>
                <w:sz w:val="24"/>
                <w:szCs w:val="24"/>
              </w:rPr>
              <w:t>: аллергический альвеолит</w:t>
            </w:r>
            <w:r w:rsidRPr="00E22DDB">
              <w:rPr>
                <w:rFonts w:ascii="Times New Roman" w:eastAsia="Times New Roman" w:hAnsi="Times New Roman" w:cs="Times New Roman"/>
                <w:sz w:val="24"/>
                <w:szCs w:val="24"/>
                <w:vertAlign w:val="superscript"/>
              </w:rPr>
              <w:t>а</w:t>
            </w:r>
          </w:p>
        </w:tc>
      </w:tr>
      <w:tr w:rsidR="00257401" w:rsidRPr="00E22DDB" w14:paraId="51C44926" w14:textId="77777777" w:rsidTr="00714245">
        <w:tc>
          <w:tcPr>
            <w:tcW w:w="4219" w:type="dxa"/>
            <w:shd w:val="clear" w:color="auto" w:fill="auto"/>
          </w:tcPr>
          <w:p w14:paraId="70A4A466"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Нарушения со стороны желудочно-кишечного тракта</w:t>
            </w:r>
          </w:p>
        </w:tc>
        <w:tc>
          <w:tcPr>
            <w:tcW w:w="5068" w:type="dxa"/>
            <w:shd w:val="clear" w:color="auto" w:fill="auto"/>
          </w:tcPr>
          <w:p w14:paraId="7743C7C0"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очень часто</w:t>
            </w:r>
            <w:r w:rsidRPr="00E22DDB">
              <w:rPr>
                <w:rFonts w:ascii="Times New Roman" w:eastAsia="Times New Roman" w:hAnsi="Times New Roman" w:cs="Times New Roman"/>
                <w:sz w:val="24"/>
                <w:szCs w:val="24"/>
              </w:rPr>
              <w:t>: диарея</w:t>
            </w:r>
          </w:p>
          <w:p w14:paraId="7E5303C3"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часто</w:t>
            </w:r>
            <w:r w:rsidRPr="00E22DDB">
              <w:rPr>
                <w:rFonts w:ascii="Times New Roman" w:eastAsia="Times New Roman" w:hAnsi="Times New Roman" w:cs="Times New Roman"/>
                <w:sz w:val="24"/>
                <w:szCs w:val="24"/>
              </w:rPr>
              <w:t>: диспепсия</w:t>
            </w:r>
          </w:p>
        </w:tc>
      </w:tr>
      <w:tr w:rsidR="00257401" w:rsidRPr="00E22DDB" w14:paraId="0E32BEAE" w14:textId="77777777" w:rsidTr="00714245">
        <w:tc>
          <w:tcPr>
            <w:tcW w:w="4219" w:type="dxa"/>
            <w:shd w:val="clear" w:color="auto" w:fill="auto"/>
          </w:tcPr>
          <w:p w14:paraId="723713A3"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Нарушения со стороны печени и желчевыводящих путей</w:t>
            </w:r>
          </w:p>
        </w:tc>
        <w:tc>
          <w:tcPr>
            <w:tcW w:w="5068" w:type="dxa"/>
            <w:shd w:val="clear" w:color="auto" w:fill="auto"/>
          </w:tcPr>
          <w:p w14:paraId="45F95671"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очень часто</w:t>
            </w:r>
            <w:r w:rsidRPr="00E22DDB">
              <w:rPr>
                <w:rFonts w:ascii="Times New Roman" w:eastAsia="Times New Roman" w:hAnsi="Times New Roman" w:cs="Times New Roman"/>
                <w:sz w:val="24"/>
                <w:szCs w:val="24"/>
              </w:rPr>
              <w:t>: повышение уровня аланинаминотрансферазы и/или повышение</w:t>
            </w:r>
            <w:r w:rsidRPr="00E22DDB">
              <w:rPr>
                <w:rFonts w:ascii="Times New Roman" w:eastAsia="Times New Roman" w:hAnsi="Times New Roman" w:cs="Times New Roman"/>
                <w:sz w:val="24"/>
                <w:szCs w:val="24"/>
                <w:vertAlign w:val="superscript"/>
                <w:lang w:val="en-US"/>
              </w:rPr>
              <w:t>b</w:t>
            </w:r>
            <w:r w:rsidRPr="00E22DDB">
              <w:rPr>
                <w:rFonts w:ascii="Times New Roman" w:eastAsia="Times New Roman" w:hAnsi="Times New Roman" w:cs="Times New Roman"/>
                <w:sz w:val="24"/>
                <w:szCs w:val="24"/>
              </w:rPr>
              <w:t xml:space="preserve"> уровня аспартатаминотрансферазы</w:t>
            </w:r>
          </w:p>
          <w:p w14:paraId="0975FB34"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редко</w:t>
            </w:r>
            <w:r w:rsidRPr="00E22DDB">
              <w:rPr>
                <w:rFonts w:ascii="Times New Roman" w:eastAsia="Times New Roman" w:hAnsi="Times New Roman" w:cs="Times New Roman"/>
                <w:sz w:val="24"/>
                <w:szCs w:val="24"/>
              </w:rPr>
              <w:t>: фульминантный гепатит, острая печеночная недостаточность</w:t>
            </w:r>
          </w:p>
        </w:tc>
      </w:tr>
      <w:tr w:rsidR="00257401" w:rsidRPr="00E22DDB" w14:paraId="7AF26D46" w14:textId="77777777" w:rsidTr="00714245">
        <w:tc>
          <w:tcPr>
            <w:tcW w:w="4219" w:type="dxa"/>
            <w:shd w:val="clear" w:color="auto" w:fill="auto"/>
          </w:tcPr>
          <w:p w14:paraId="4BC9C2F2"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Нарушения со стороны кожи и подкожных тканей</w:t>
            </w:r>
          </w:p>
        </w:tc>
        <w:tc>
          <w:tcPr>
            <w:tcW w:w="5068" w:type="dxa"/>
            <w:shd w:val="clear" w:color="auto" w:fill="auto"/>
          </w:tcPr>
          <w:p w14:paraId="16489E6D"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часто:</w:t>
            </w:r>
            <w:r w:rsidRPr="00E22DDB">
              <w:rPr>
                <w:rFonts w:ascii="Times New Roman" w:eastAsia="Times New Roman" w:hAnsi="Times New Roman" w:cs="Times New Roman"/>
                <w:sz w:val="24"/>
                <w:szCs w:val="24"/>
              </w:rPr>
              <w:t xml:space="preserve"> сыпь</w:t>
            </w:r>
          </w:p>
        </w:tc>
      </w:tr>
      <w:tr w:rsidR="00257401" w:rsidRPr="00E22DDB" w14:paraId="453779D9" w14:textId="77777777" w:rsidTr="00714245">
        <w:tc>
          <w:tcPr>
            <w:tcW w:w="4219" w:type="dxa"/>
            <w:shd w:val="clear" w:color="auto" w:fill="auto"/>
          </w:tcPr>
          <w:p w14:paraId="415700AE"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Нарушения со стороны скелетно-мышечной и соединительной ткани</w:t>
            </w:r>
          </w:p>
        </w:tc>
        <w:tc>
          <w:tcPr>
            <w:tcW w:w="5068" w:type="dxa"/>
            <w:shd w:val="clear" w:color="auto" w:fill="auto"/>
          </w:tcPr>
          <w:p w14:paraId="41C1DC91"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нечасто</w:t>
            </w:r>
            <w:r w:rsidRPr="00E22DDB">
              <w:rPr>
                <w:rFonts w:ascii="Times New Roman" w:eastAsia="Times New Roman" w:hAnsi="Times New Roman" w:cs="Times New Roman"/>
                <w:sz w:val="24"/>
                <w:szCs w:val="24"/>
              </w:rPr>
              <w:t>: миопатия, рабдомиолиз</w:t>
            </w:r>
          </w:p>
        </w:tc>
      </w:tr>
      <w:tr w:rsidR="00257401" w:rsidRPr="00E22DDB" w14:paraId="03EDFC23" w14:textId="77777777" w:rsidTr="00714245">
        <w:tc>
          <w:tcPr>
            <w:tcW w:w="4219" w:type="dxa"/>
            <w:shd w:val="clear" w:color="auto" w:fill="auto"/>
          </w:tcPr>
          <w:p w14:paraId="7C4A4522"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Нарушения со стороны почек и мочевыводящих путей</w:t>
            </w:r>
          </w:p>
        </w:tc>
        <w:tc>
          <w:tcPr>
            <w:tcW w:w="5068" w:type="dxa"/>
            <w:shd w:val="clear" w:color="auto" w:fill="auto"/>
          </w:tcPr>
          <w:p w14:paraId="484B183F"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часто</w:t>
            </w:r>
            <w:r w:rsidRPr="00E22DDB">
              <w:rPr>
                <w:rFonts w:ascii="Times New Roman" w:eastAsia="Times New Roman" w:hAnsi="Times New Roman" w:cs="Times New Roman"/>
                <w:sz w:val="24"/>
                <w:szCs w:val="24"/>
              </w:rPr>
              <w:t>: гематурия</w:t>
            </w:r>
          </w:p>
        </w:tc>
      </w:tr>
      <w:tr w:rsidR="00257401" w:rsidRPr="00E22DDB" w14:paraId="31070764" w14:textId="77777777" w:rsidTr="00714245">
        <w:tc>
          <w:tcPr>
            <w:tcW w:w="4219" w:type="dxa"/>
            <w:shd w:val="clear" w:color="auto" w:fill="auto"/>
          </w:tcPr>
          <w:p w14:paraId="5BEE769F"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Общие расстройства и нарушения в месте введения</w:t>
            </w:r>
          </w:p>
        </w:tc>
        <w:tc>
          <w:tcPr>
            <w:tcW w:w="5068" w:type="dxa"/>
            <w:shd w:val="clear" w:color="auto" w:fill="auto"/>
          </w:tcPr>
          <w:p w14:paraId="66499C88"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очень часто</w:t>
            </w:r>
            <w:r w:rsidRPr="00E22DDB">
              <w:rPr>
                <w:rFonts w:ascii="Times New Roman" w:eastAsia="Times New Roman" w:hAnsi="Times New Roman" w:cs="Times New Roman"/>
                <w:sz w:val="24"/>
                <w:szCs w:val="24"/>
              </w:rPr>
              <w:t>: периферический отек</w:t>
            </w:r>
          </w:p>
        </w:tc>
      </w:tr>
      <w:tr w:rsidR="00257401" w:rsidRPr="00E22DDB" w14:paraId="43C85EF8" w14:textId="77777777" w:rsidTr="00714245">
        <w:tc>
          <w:tcPr>
            <w:tcW w:w="4219" w:type="dxa"/>
            <w:shd w:val="clear" w:color="auto" w:fill="auto"/>
          </w:tcPr>
          <w:p w14:paraId="75B35613" w14:textId="77777777" w:rsidR="00257401" w:rsidRPr="00E22DDB" w:rsidRDefault="00257401" w:rsidP="00701A32">
            <w:pPr>
              <w:spacing w:after="0" w:line="240" w:lineRule="auto"/>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Травмы, отравления и процедурные осложнения</w:t>
            </w:r>
          </w:p>
        </w:tc>
        <w:tc>
          <w:tcPr>
            <w:tcW w:w="5068" w:type="dxa"/>
            <w:shd w:val="clear" w:color="auto" w:fill="auto"/>
          </w:tcPr>
          <w:p w14:paraId="7BFA136E" w14:textId="77777777" w:rsidR="00257401" w:rsidRPr="00E22DDB" w:rsidRDefault="00257401" w:rsidP="00701A32">
            <w:pPr>
              <w:spacing w:after="0" w:line="240" w:lineRule="auto"/>
              <w:rPr>
                <w:rFonts w:ascii="Times New Roman" w:eastAsia="Times New Roman" w:hAnsi="Times New Roman" w:cs="Times New Roman"/>
                <w:sz w:val="24"/>
                <w:szCs w:val="24"/>
              </w:rPr>
            </w:pPr>
            <w:r w:rsidRPr="00E22DDB">
              <w:rPr>
                <w:rFonts w:ascii="Times New Roman" w:eastAsia="Times New Roman" w:hAnsi="Times New Roman" w:cs="Times New Roman"/>
                <w:i/>
                <w:sz w:val="24"/>
                <w:szCs w:val="24"/>
              </w:rPr>
              <w:t>часто</w:t>
            </w:r>
            <w:r w:rsidRPr="00E22DDB">
              <w:rPr>
                <w:rFonts w:ascii="Times New Roman" w:eastAsia="Times New Roman" w:hAnsi="Times New Roman" w:cs="Times New Roman"/>
                <w:sz w:val="24"/>
                <w:szCs w:val="24"/>
              </w:rPr>
              <w:t>: переломы**</w:t>
            </w:r>
          </w:p>
        </w:tc>
      </w:tr>
    </w:tbl>
    <w:p w14:paraId="78F01B3E" w14:textId="77777777" w:rsidR="00257401" w:rsidRPr="00E22DDB" w:rsidRDefault="00257401" w:rsidP="00701A32">
      <w:pPr>
        <w:spacing w:after="0" w:line="240" w:lineRule="auto"/>
        <w:jc w:val="both"/>
        <w:rPr>
          <w:rFonts w:ascii="Times New Roman" w:eastAsia="Times New Roman" w:hAnsi="Times New Roman" w:cs="Times New Roman"/>
          <w:sz w:val="20"/>
          <w:szCs w:val="20"/>
        </w:rPr>
      </w:pPr>
      <w:r w:rsidRPr="00E22DDB">
        <w:rPr>
          <w:rFonts w:ascii="Times New Roman" w:eastAsia="Times New Roman" w:hAnsi="Times New Roman" w:cs="Times New Roman"/>
          <w:sz w:val="20"/>
          <w:szCs w:val="20"/>
        </w:rPr>
        <w:t>* Сердечная недостаточность, также включает застойную сердечную недостаточность, дисфункцию левого желудочка и снижение фракции выброса.</w:t>
      </w:r>
    </w:p>
    <w:p w14:paraId="2E5220D8" w14:textId="6AF0FD73" w:rsidR="00257401" w:rsidRPr="00E22DDB" w:rsidRDefault="00257401" w:rsidP="00701A32">
      <w:pPr>
        <w:spacing w:after="0" w:line="240" w:lineRule="auto"/>
        <w:jc w:val="both"/>
        <w:rPr>
          <w:rFonts w:ascii="Times New Roman" w:eastAsia="Times New Roman" w:hAnsi="Times New Roman" w:cs="Times New Roman"/>
          <w:sz w:val="20"/>
          <w:szCs w:val="20"/>
        </w:rPr>
      </w:pPr>
      <w:r w:rsidRPr="00E22DDB">
        <w:rPr>
          <w:rFonts w:ascii="Times New Roman" w:eastAsia="Times New Roman" w:hAnsi="Times New Roman" w:cs="Times New Roman"/>
          <w:sz w:val="20"/>
          <w:szCs w:val="20"/>
        </w:rPr>
        <w:t xml:space="preserve">** Переломы включают </w:t>
      </w:r>
      <w:r w:rsidR="00F01807" w:rsidRPr="00E22DDB">
        <w:rPr>
          <w:rFonts w:ascii="Times New Roman" w:eastAsia="Times New Roman" w:hAnsi="Times New Roman" w:cs="Times New Roman"/>
          <w:sz w:val="20"/>
          <w:szCs w:val="20"/>
        </w:rPr>
        <w:t xml:space="preserve">остеопороз </w:t>
      </w:r>
      <w:r w:rsidRPr="00E22DDB">
        <w:rPr>
          <w:rFonts w:ascii="Times New Roman" w:eastAsia="Times New Roman" w:hAnsi="Times New Roman" w:cs="Times New Roman"/>
          <w:sz w:val="20"/>
          <w:szCs w:val="20"/>
        </w:rPr>
        <w:t>и все переломы за исключением патологического перелома.</w:t>
      </w:r>
    </w:p>
    <w:p w14:paraId="1FC2DA1C" w14:textId="77777777" w:rsidR="00257401" w:rsidRPr="00E22DDB" w:rsidRDefault="00257401" w:rsidP="00701A32">
      <w:pPr>
        <w:spacing w:after="0" w:line="240" w:lineRule="auto"/>
        <w:jc w:val="both"/>
        <w:rPr>
          <w:rFonts w:ascii="Times New Roman" w:eastAsia="Times New Roman" w:hAnsi="Times New Roman" w:cs="Times New Roman"/>
          <w:sz w:val="20"/>
          <w:szCs w:val="20"/>
        </w:rPr>
      </w:pPr>
      <w:r w:rsidRPr="00E22DDB">
        <w:rPr>
          <w:rFonts w:ascii="Times New Roman" w:eastAsia="Times New Roman" w:hAnsi="Times New Roman" w:cs="Times New Roman"/>
          <w:sz w:val="20"/>
          <w:szCs w:val="20"/>
          <w:vertAlign w:val="superscript"/>
          <w:lang w:val="en-US"/>
        </w:rPr>
        <w:t>a</w:t>
      </w:r>
      <w:r w:rsidRPr="00E22DDB">
        <w:rPr>
          <w:rFonts w:ascii="Times New Roman" w:eastAsia="Times New Roman" w:hAnsi="Times New Roman" w:cs="Times New Roman"/>
          <w:sz w:val="20"/>
          <w:szCs w:val="20"/>
        </w:rPr>
        <w:t xml:space="preserve"> Спонтанные отчеты из пост-маркетингового опыта.</w:t>
      </w:r>
    </w:p>
    <w:p w14:paraId="11361D45" w14:textId="77777777" w:rsidR="00257401" w:rsidRPr="00E22DDB" w:rsidRDefault="00257401" w:rsidP="00701A32">
      <w:pPr>
        <w:spacing w:after="0" w:line="240" w:lineRule="auto"/>
        <w:jc w:val="both"/>
        <w:rPr>
          <w:rFonts w:ascii="Times New Roman" w:eastAsia="Times New Roman" w:hAnsi="Times New Roman" w:cs="Times New Roman"/>
          <w:sz w:val="20"/>
          <w:szCs w:val="20"/>
        </w:rPr>
      </w:pPr>
      <w:bookmarkStart w:id="14" w:name="_Hlk500885955"/>
      <w:r w:rsidRPr="00E22DDB">
        <w:rPr>
          <w:rFonts w:ascii="Times New Roman" w:eastAsia="Times New Roman" w:hAnsi="Times New Roman" w:cs="Times New Roman"/>
          <w:sz w:val="20"/>
          <w:szCs w:val="20"/>
          <w:vertAlign w:val="superscript"/>
          <w:lang w:val="en-US"/>
        </w:rPr>
        <w:t>b</w:t>
      </w:r>
      <w:r w:rsidRPr="00E22DDB">
        <w:rPr>
          <w:rFonts w:ascii="Times New Roman" w:eastAsia="Times New Roman" w:hAnsi="Times New Roman" w:cs="Times New Roman"/>
          <w:sz w:val="20"/>
          <w:szCs w:val="20"/>
        </w:rPr>
        <w:t xml:space="preserve"> Повышение уровня аланинаминотрансферазы и/или аспартатаминотрансферазы включает: повышение уровня АЛТ, повышение уровня АСТ и нарушение функции печени.</w:t>
      </w:r>
      <w:bookmarkEnd w:id="14"/>
    </w:p>
    <w:p w14:paraId="640DA346" w14:textId="77777777" w:rsidR="009E1899" w:rsidRPr="00E22DDB" w:rsidRDefault="009E1899" w:rsidP="00701A32">
      <w:pPr>
        <w:widowControl w:val="0"/>
        <w:suppressAutoHyphens/>
        <w:spacing w:after="0" w:line="240" w:lineRule="auto"/>
        <w:jc w:val="both"/>
        <w:rPr>
          <w:rFonts w:ascii="Times New Roman" w:eastAsia="Times New Roman" w:hAnsi="Times New Roman" w:cs="Times New Roman"/>
          <w:kern w:val="1"/>
          <w:sz w:val="24"/>
          <w:szCs w:val="24"/>
          <w:lang w:eastAsia="ar-SA"/>
        </w:rPr>
      </w:pPr>
    </w:p>
    <w:p w14:paraId="7A3DB202" w14:textId="77777777" w:rsidR="00257401" w:rsidRPr="00E22DDB" w:rsidRDefault="00257401" w:rsidP="00701A32">
      <w:pPr>
        <w:widowControl w:val="0"/>
        <w:suppressAutoHyphens/>
        <w:spacing w:after="0" w:line="240" w:lineRule="auto"/>
        <w:jc w:val="both"/>
        <w:rPr>
          <w:rFonts w:ascii="Times New Roman" w:eastAsia="Times New Roman" w:hAnsi="Times New Roman" w:cs="Times New Roman"/>
          <w:kern w:val="1"/>
          <w:sz w:val="24"/>
          <w:szCs w:val="24"/>
          <w:lang w:eastAsia="ar-SA"/>
        </w:rPr>
      </w:pPr>
      <w:r w:rsidRPr="00E22DDB">
        <w:rPr>
          <w:rFonts w:ascii="Times New Roman" w:eastAsia="Times New Roman" w:hAnsi="Times New Roman" w:cs="Times New Roman"/>
          <w:kern w:val="1"/>
          <w:sz w:val="24"/>
          <w:szCs w:val="24"/>
          <w:lang w:eastAsia="ar-SA"/>
        </w:rPr>
        <w:t xml:space="preserve">Следующие побочные действия 3 степени отмечались у пациентов принимавших абиратерона ацетат: гипокалиемия 5%; инфекции мочевыводящих путей 2%, </w:t>
      </w:r>
      <w:bookmarkStart w:id="15" w:name="_Hlk500852484"/>
      <w:r w:rsidRPr="00E22DDB">
        <w:rPr>
          <w:rFonts w:ascii="Times New Roman" w:eastAsia="Times New Roman" w:hAnsi="Times New Roman" w:cs="Times New Roman"/>
          <w:kern w:val="1"/>
          <w:sz w:val="24"/>
          <w:szCs w:val="24"/>
          <w:lang w:eastAsia="ar-SA"/>
        </w:rPr>
        <w:t xml:space="preserve">повышение уровня аланинаминотрансферазы </w:t>
      </w:r>
      <w:bookmarkStart w:id="16" w:name="_Hlk500886055"/>
      <w:r w:rsidRPr="00E22DDB">
        <w:rPr>
          <w:rFonts w:ascii="Times New Roman" w:eastAsia="Times New Roman" w:hAnsi="Times New Roman" w:cs="Times New Roman"/>
          <w:kern w:val="1"/>
          <w:sz w:val="24"/>
          <w:szCs w:val="24"/>
          <w:lang w:eastAsia="ar-SA"/>
        </w:rPr>
        <w:t xml:space="preserve">и/или повышение уровня аспартатаминотрансферазы </w:t>
      </w:r>
      <w:bookmarkEnd w:id="15"/>
      <w:r w:rsidRPr="00E22DDB">
        <w:rPr>
          <w:rFonts w:ascii="Times New Roman" w:eastAsia="Times New Roman" w:hAnsi="Times New Roman" w:cs="Times New Roman"/>
          <w:kern w:val="1"/>
          <w:sz w:val="24"/>
          <w:szCs w:val="24"/>
          <w:lang w:eastAsia="ar-SA"/>
        </w:rPr>
        <w:t>4%;</w:t>
      </w:r>
      <w:bookmarkEnd w:id="16"/>
      <w:r w:rsidRPr="00E22DDB">
        <w:rPr>
          <w:rFonts w:ascii="Times New Roman" w:eastAsia="Times New Roman" w:hAnsi="Times New Roman" w:cs="Times New Roman"/>
          <w:kern w:val="1"/>
          <w:sz w:val="24"/>
          <w:szCs w:val="24"/>
          <w:lang w:eastAsia="ar-SA"/>
        </w:rPr>
        <w:t xml:space="preserve"> гипертензия 6%, переломы 2%; периферические отеки, сердечная недостаточность, фибрилляция предсердий – по 1% каждый. Гипертриглицеридемия и стенокардия 3 степени наблюдались у &lt;1% пациентов. Следующие побочные реакции 4 степени наблюдались у &lt;1% пациентов: инфекции мочевыводящих путей, </w:t>
      </w:r>
      <w:bookmarkStart w:id="17" w:name="_Hlk500886285"/>
      <w:r w:rsidRPr="00E22DDB">
        <w:rPr>
          <w:rFonts w:ascii="Times New Roman" w:eastAsia="Times New Roman" w:hAnsi="Times New Roman" w:cs="Times New Roman"/>
          <w:kern w:val="1"/>
          <w:sz w:val="24"/>
          <w:szCs w:val="24"/>
          <w:lang w:eastAsia="ar-SA"/>
        </w:rPr>
        <w:t xml:space="preserve">повышение уровня аланинаминотрансферазы и/или повышение уровня аспартатаминотрансферазы, гипокалиемия, </w:t>
      </w:r>
      <w:bookmarkEnd w:id="17"/>
      <w:r w:rsidRPr="00E22DDB">
        <w:rPr>
          <w:rFonts w:ascii="Times New Roman" w:eastAsia="Times New Roman" w:hAnsi="Times New Roman" w:cs="Times New Roman"/>
          <w:kern w:val="1"/>
          <w:sz w:val="24"/>
          <w:szCs w:val="24"/>
          <w:lang w:eastAsia="ar-SA"/>
        </w:rPr>
        <w:t xml:space="preserve">сердечная недостаточность, </w:t>
      </w:r>
      <w:bookmarkStart w:id="18" w:name="_Hlk500886307"/>
      <w:r w:rsidRPr="00E22DDB">
        <w:rPr>
          <w:rFonts w:ascii="Times New Roman" w:eastAsia="Times New Roman" w:hAnsi="Times New Roman" w:cs="Times New Roman"/>
          <w:kern w:val="1"/>
          <w:sz w:val="24"/>
          <w:szCs w:val="24"/>
          <w:lang w:eastAsia="ar-SA"/>
        </w:rPr>
        <w:t xml:space="preserve">фибрилляция предсердий </w:t>
      </w:r>
      <w:bookmarkEnd w:id="18"/>
      <w:r w:rsidRPr="00E22DDB">
        <w:rPr>
          <w:rFonts w:ascii="Times New Roman" w:eastAsia="Times New Roman" w:hAnsi="Times New Roman" w:cs="Times New Roman"/>
          <w:kern w:val="1"/>
          <w:sz w:val="24"/>
          <w:szCs w:val="24"/>
          <w:lang w:eastAsia="ar-SA"/>
        </w:rPr>
        <w:t>и переломы.</w:t>
      </w:r>
    </w:p>
    <w:p w14:paraId="2BE2E10D" w14:textId="77777777" w:rsidR="00257401" w:rsidRPr="00E22DDB" w:rsidRDefault="00257401" w:rsidP="00701A32">
      <w:pPr>
        <w:widowControl w:val="0"/>
        <w:suppressAutoHyphens/>
        <w:spacing w:after="0" w:line="240" w:lineRule="auto"/>
        <w:jc w:val="both"/>
        <w:rPr>
          <w:rFonts w:ascii="Times New Roman" w:eastAsia="Times New Roman" w:hAnsi="Times New Roman" w:cs="Times New Roman"/>
          <w:kern w:val="1"/>
          <w:sz w:val="24"/>
          <w:szCs w:val="24"/>
          <w:lang w:eastAsia="ar-SA"/>
        </w:rPr>
      </w:pPr>
      <w:bookmarkStart w:id="19" w:name="_Hlk500886338"/>
      <w:r w:rsidRPr="00E22DDB">
        <w:rPr>
          <w:rFonts w:ascii="Times New Roman" w:eastAsia="Times New Roman" w:hAnsi="Times New Roman" w:cs="Times New Roman"/>
          <w:kern w:val="1"/>
          <w:sz w:val="24"/>
          <w:szCs w:val="24"/>
          <w:lang w:eastAsia="ar-SA"/>
        </w:rPr>
        <w:t xml:space="preserve">Большая частота случаев гипертензии и гипокалиемии наблюдалась </w:t>
      </w:r>
      <w:r w:rsidR="00A54751" w:rsidRPr="00E22DDB">
        <w:rPr>
          <w:rFonts w:ascii="Times New Roman" w:eastAsia="Times New Roman" w:hAnsi="Times New Roman" w:cs="Times New Roman"/>
          <w:kern w:val="1"/>
          <w:sz w:val="24"/>
          <w:szCs w:val="24"/>
          <w:lang w:eastAsia="ar-SA"/>
        </w:rPr>
        <w:t>в гормоночувствительной группе</w:t>
      </w:r>
      <w:r w:rsidRPr="00E22DDB">
        <w:rPr>
          <w:rFonts w:ascii="Times New Roman" w:eastAsia="Times New Roman" w:hAnsi="Times New Roman" w:cs="Times New Roman"/>
          <w:kern w:val="1"/>
          <w:sz w:val="24"/>
          <w:szCs w:val="24"/>
          <w:lang w:eastAsia="ar-SA"/>
        </w:rPr>
        <w:t xml:space="preserve">. Гипертензия отмечалась у 36.7% пациентов в гормоночувствительной группе, по сравнению с 11.8% и 20.2%, соответственно. </w:t>
      </w:r>
    </w:p>
    <w:p w14:paraId="39E07FF9" w14:textId="77777777" w:rsidR="00257401" w:rsidRPr="00E22DDB" w:rsidRDefault="00257401" w:rsidP="00701A32">
      <w:pPr>
        <w:widowControl w:val="0"/>
        <w:suppressAutoHyphens/>
        <w:spacing w:after="0" w:line="240" w:lineRule="auto"/>
        <w:jc w:val="both"/>
        <w:rPr>
          <w:rFonts w:ascii="Times New Roman" w:eastAsia="Times New Roman" w:hAnsi="Times New Roman" w:cs="Times New Roman"/>
          <w:kern w:val="1"/>
          <w:sz w:val="24"/>
          <w:szCs w:val="24"/>
          <w:lang w:eastAsia="ar-SA"/>
        </w:rPr>
      </w:pPr>
      <w:r w:rsidRPr="00E22DDB">
        <w:rPr>
          <w:rFonts w:ascii="Times New Roman" w:eastAsia="Times New Roman" w:hAnsi="Times New Roman" w:cs="Times New Roman"/>
          <w:kern w:val="1"/>
          <w:sz w:val="24"/>
          <w:szCs w:val="24"/>
          <w:lang w:eastAsia="ar-SA"/>
        </w:rPr>
        <w:t xml:space="preserve">Гипокалиемия наблюдалась у 20.4% пациентов в гормоночувствительной группе по сравнению с 19.2% и 14.9%, </w:t>
      </w:r>
      <w:r w:rsidR="00A54751" w:rsidRPr="00E22DDB">
        <w:rPr>
          <w:rFonts w:ascii="Times New Roman" w:eastAsia="Times New Roman" w:hAnsi="Times New Roman" w:cs="Times New Roman"/>
          <w:kern w:val="1"/>
          <w:sz w:val="24"/>
          <w:szCs w:val="24"/>
          <w:lang w:eastAsia="ar-SA"/>
        </w:rPr>
        <w:t>соответственно</w:t>
      </w:r>
      <w:r w:rsidRPr="00E22DDB">
        <w:rPr>
          <w:rFonts w:ascii="Times New Roman" w:eastAsia="Times New Roman" w:hAnsi="Times New Roman" w:cs="Times New Roman"/>
          <w:kern w:val="1"/>
          <w:sz w:val="24"/>
          <w:szCs w:val="24"/>
          <w:lang w:eastAsia="ar-SA"/>
        </w:rPr>
        <w:t>.</w:t>
      </w:r>
    </w:p>
    <w:p w14:paraId="749A3B89" w14:textId="77777777" w:rsidR="00257401" w:rsidRPr="00E22DDB" w:rsidRDefault="00257401" w:rsidP="00701A32">
      <w:pPr>
        <w:widowControl w:val="0"/>
        <w:suppressAutoHyphens/>
        <w:spacing w:after="0" w:line="240" w:lineRule="auto"/>
        <w:jc w:val="both"/>
        <w:rPr>
          <w:rFonts w:ascii="Times New Roman" w:eastAsia="Times New Roman" w:hAnsi="Times New Roman" w:cs="Times New Roman"/>
          <w:kern w:val="1"/>
          <w:sz w:val="24"/>
          <w:szCs w:val="24"/>
          <w:lang w:eastAsia="ar-SA"/>
        </w:rPr>
      </w:pPr>
      <w:r w:rsidRPr="00E22DDB">
        <w:rPr>
          <w:rFonts w:ascii="Times New Roman" w:eastAsia="Times New Roman" w:hAnsi="Times New Roman" w:cs="Times New Roman"/>
          <w:kern w:val="1"/>
          <w:sz w:val="24"/>
          <w:szCs w:val="24"/>
          <w:lang w:eastAsia="ar-SA"/>
        </w:rPr>
        <w:t xml:space="preserve">Частота и тяжесть побочных реакций была выше в подгруппе пациентов с базовым показателем состояния по шкале </w:t>
      </w:r>
      <w:r w:rsidRPr="00E22DDB">
        <w:rPr>
          <w:rFonts w:ascii="Times New Roman" w:eastAsia="Times New Roman" w:hAnsi="Times New Roman" w:cs="Times New Roman"/>
          <w:kern w:val="1"/>
          <w:sz w:val="24"/>
          <w:szCs w:val="24"/>
          <w:lang w:val="en-US" w:eastAsia="ar-SA"/>
        </w:rPr>
        <w:t>ECOG</w:t>
      </w:r>
      <w:r w:rsidRPr="00E22DDB">
        <w:rPr>
          <w:rFonts w:ascii="Times New Roman" w:eastAsia="Times New Roman" w:hAnsi="Times New Roman" w:cs="Times New Roman"/>
          <w:kern w:val="1"/>
          <w:sz w:val="24"/>
          <w:szCs w:val="24"/>
          <w:lang w:eastAsia="ar-SA"/>
        </w:rPr>
        <w:t xml:space="preserve"> 2 балла, а также у пожилых пациентов (75 лет</w:t>
      </w:r>
      <w:r w:rsidR="009E1899" w:rsidRPr="00E22DDB">
        <w:rPr>
          <w:rFonts w:ascii="Times New Roman" w:eastAsia="Times New Roman" w:hAnsi="Times New Roman" w:cs="Times New Roman"/>
          <w:kern w:val="1"/>
          <w:sz w:val="24"/>
          <w:szCs w:val="24"/>
          <w:lang w:eastAsia="ar-SA"/>
        </w:rPr>
        <w:t xml:space="preserve"> и старше</w:t>
      </w:r>
      <w:r w:rsidRPr="00E22DDB">
        <w:rPr>
          <w:rFonts w:ascii="Times New Roman" w:eastAsia="Times New Roman" w:hAnsi="Times New Roman" w:cs="Times New Roman"/>
          <w:kern w:val="1"/>
          <w:sz w:val="24"/>
          <w:szCs w:val="24"/>
          <w:lang w:eastAsia="ar-SA"/>
        </w:rPr>
        <w:t>).</w:t>
      </w:r>
      <w:bookmarkEnd w:id="19"/>
    </w:p>
    <w:p w14:paraId="5BEAECEE" w14:textId="77777777" w:rsidR="00257401" w:rsidRPr="00E22DDB" w:rsidRDefault="00257401" w:rsidP="00701A32">
      <w:pPr>
        <w:widowControl w:val="0"/>
        <w:suppressAutoHyphens/>
        <w:spacing w:after="0" w:line="240" w:lineRule="auto"/>
        <w:jc w:val="both"/>
        <w:rPr>
          <w:rFonts w:ascii="Times New Roman" w:eastAsia="Times New Roman" w:hAnsi="Times New Roman" w:cs="Times New Roman"/>
          <w:kern w:val="1"/>
          <w:sz w:val="24"/>
          <w:szCs w:val="24"/>
          <w:u w:val="single"/>
          <w:lang w:eastAsia="ar-SA"/>
        </w:rPr>
      </w:pPr>
      <w:bookmarkStart w:id="20" w:name="_Hlk178926667"/>
      <w:r w:rsidRPr="00E22DDB">
        <w:rPr>
          <w:rFonts w:ascii="Times New Roman" w:eastAsia="Times New Roman" w:hAnsi="Times New Roman" w:cs="Times New Roman"/>
          <w:kern w:val="1"/>
          <w:sz w:val="24"/>
          <w:szCs w:val="24"/>
          <w:u w:val="single"/>
          <w:lang w:eastAsia="ar-SA"/>
        </w:rPr>
        <w:t>Описание отдельных побочных реакций</w:t>
      </w:r>
    </w:p>
    <w:p w14:paraId="5E905188" w14:textId="77777777" w:rsidR="00257401" w:rsidRPr="00E22DDB" w:rsidRDefault="00257401" w:rsidP="00701A32">
      <w:pPr>
        <w:widowControl w:val="0"/>
        <w:suppressAutoHyphens/>
        <w:spacing w:after="0" w:line="240" w:lineRule="auto"/>
        <w:jc w:val="both"/>
        <w:rPr>
          <w:rFonts w:ascii="Times New Roman" w:eastAsia="Times New Roman" w:hAnsi="Times New Roman" w:cs="Times New Roman"/>
          <w:i/>
          <w:kern w:val="1"/>
          <w:sz w:val="24"/>
          <w:szCs w:val="24"/>
          <w:lang w:eastAsia="ar-SA"/>
        </w:rPr>
      </w:pPr>
      <w:r w:rsidRPr="00E22DDB">
        <w:rPr>
          <w:rFonts w:ascii="Times New Roman" w:eastAsia="Times New Roman" w:hAnsi="Times New Roman" w:cs="Times New Roman"/>
          <w:i/>
          <w:kern w:val="1"/>
          <w:sz w:val="24"/>
          <w:szCs w:val="24"/>
          <w:lang w:eastAsia="ar-SA"/>
        </w:rPr>
        <w:t>Сердечно-сосудистые реакции</w:t>
      </w:r>
    </w:p>
    <w:p w14:paraId="6194BDE6" w14:textId="77777777" w:rsidR="00257401" w:rsidRPr="00E22DDB" w:rsidRDefault="00257401" w:rsidP="00701A32">
      <w:pPr>
        <w:widowControl w:val="0"/>
        <w:suppressAutoHyphens/>
        <w:spacing w:after="0" w:line="240" w:lineRule="auto"/>
        <w:jc w:val="both"/>
        <w:rPr>
          <w:rFonts w:ascii="Times New Roman" w:eastAsia="Times New Roman" w:hAnsi="Times New Roman" w:cs="Times New Roman"/>
          <w:kern w:val="1"/>
          <w:sz w:val="24"/>
          <w:szCs w:val="24"/>
          <w:lang w:eastAsia="ar-SA"/>
        </w:rPr>
      </w:pPr>
      <w:r w:rsidRPr="00E22DDB">
        <w:rPr>
          <w:rFonts w:ascii="Times New Roman" w:eastAsia="Times New Roman" w:hAnsi="Times New Roman" w:cs="Times New Roman"/>
          <w:kern w:val="1"/>
          <w:sz w:val="24"/>
          <w:szCs w:val="24"/>
          <w:lang w:eastAsia="ar-SA"/>
        </w:rPr>
        <w:t>Из трех исследований 3 фазы были исключены пациенты с неконтролируемой артериальной гипертензией, клинически значимым заболеванием сердца, сопровождавшимся инфарктом миокарда или артериальными тромботическими осложнениями в течение последних 6 месяцев, тяжелой или нестабильной стенокардией, или сердечной недостаточностью функционального класса III или IV по классификации NYHA или сердечной недостаточностью функционального класса II-IV  или фракцией серчечного выброса &lt;50%. Все пациенты, включенные в исследование (как принимавшие активное вещество, так и принимавшие плацебо) принимали совместную андроген депривационную терапию, преимущественно с использованием аналогов ЛГРГ, который ассоциировался с диабетом, инфарктом миокарда, нарушением мозгового кровообращения и внезапной остановкой сердца. Частота сердечно-сосудистых побочных реакций в исследовании 3 фазы у пациентов, принимавщих абиратерона ацетат в сравнении с пациентами, принимавшими плацебо составляла следующее: фибрилляция предсердий 2.6% против 2.0%, тахикардия 1.9% против 1.0%, стенокардия 1.7% против 0.8%, сердечная недостаточность 0.7% против 0.2% и аритмии 0.7% против 0.5%.</w:t>
      </w:r>
    </w:p>
    <w:p w14:paraId="2246052F" w14:textId="77777777" w:rsidR="00257401" w:rsidRPr="00E22DDB" w:rsidRDefault="00257401" w:rsidP="00701A32">
      <w:pPr>
        <w:widowControl w:val="0"/>
        <w:suppressAutoHyphens/>
        <w:spacing w:after="0" w:line="240" w:lineRule="auto"/>
        <w:jc w:val="both"/>
        <w:rPr>
          <w:rFonts w:ascii="Times New Roman" w:eastAsia="Times New Roman" w:hAnsi="Times New Roman" w:cs="Times New Roman"/>
          <w:i/>
          <w:kern w:val="1"/>
          <w:sz w:val="24"/>
          <w:szCs w:val="24"/>
          <w:lang w:eastAsia="ar-SA"/>
        </w:rPr>
      </w:pPr>
      <w:r w:rsidRPr="00E22DDB">
        <w:rPr>
          <w:rFonts w:ascii="Times New Roman" w:eastAsia="Times New Roman" w:hAnsi="Times New Roman" w:cs="Times New Roman"/>
          <w:i/>
          <w:kern w:val="1"/>
          <w:sz w:val="24"/>
          <w:szCs w:val="24"/>
          <w:lang w:eastAsia="ar-SA"/>
        </w:rPr>
        <w:t xml:space="preserve">Гепатотоксичность </w:t>
      </w:r>
    </w:p>
    <w:p w14:paraId="7341B3BD" w14:textId="77777777" w:rsidR="00257401" w:rsidRPr="00E22DDB" w:rsidRDefault="00257401" w:rsidP="00701A32">
      <w:pPr>
        <w:widowControl w:val="0"/>
        <w:suppressAutoHyphens/>
        <w:spacing w:after="0" w:line="240" w:lineRule="auto"/>
        <w:jc w:val="both"/>
        <w:rPr>
          <w:rFonts w:ascii="Times New Roman" w:eastAsia="Times New Roman" w:hAnsi="Times New Roman" w:cs="Times New Roman"/>
          <w:kern w:val="1"/>
          <w:sz w:val="24"/>
          <w:szCs w:val="24"/>
          <w:lang w:eastAsia="ar-SA"/>
        </w:rPr>
      </w:pPr>
      <w:r w:rsidRPr="00E22DDB">
        <w:rPr>
          <w:rFonts w:ascii="Times New Roman" w:eastAsia="Times New Roman" w:hAnsi="Times New Roman" w:cs="Times New Roman"/>
          <w:kern w:val="1"/>
          <w:sz w:val="24"/>
          <w:szCs w:val="24"/>
          <w:lang w:eastAsia="ar-SA"/>
        </w:rPr>
        <w:t xml:space="preserve">Сообщалось о случаях гепатотоксичности с повышением уровня АЛТ, АСТ и общего билирубина у пациентов, принимавших лечение абиратерона ацетатом. В клинических исследованиях 3 фазы примерно у 6% пациентов, получавших абиратерона ацетат, как правило, в течение первых 3 месяцев после начала лечения, отмечалась </w:t>
      </w:r>
      <w:bookmarkStart w:id="21" w:name="_Hlk500886686"/>
      <w:r w:rsidRPr="00E22DDB">
        <w:rPr>
          <w:rFonts w:ascii="Times New Roman" w:eastAsia="Times New Roman" w:hAnsi="Times New Roman" w:cs="Times New Roman"/>
          <w:kern w:val="1"/>
          <w:sz w:val="24"/>
          <w:szCs w:val="24"/>
          <w:lang w:eastAsia="ar-SA"/>
        </w:rPr>
        <w:t>гепатотоксичность 3 и 4 степени</w:t>
      </w:r>
      <w:bookmarkEnd w:id="21"/>
      <w:r w:rsidRPr="00E22DDB">
        <w:rPr>
          <w:rFonts w:ascii="Times New Roman" w:eastAsia="Times New Roman" w:hAnsi="Times New Roman" w:cs="Times New Roman"/>
          <w:kern w:val="1"/>
          <w:sz w:val="24"/>
          <w:szCs w:val="24"/>
          <w:lang w:eastAsia="ar-SA"/>
        </w:rPr>
        <w:t xml:space="preserve"> (например, повышение АЛТ или АСТ &gt;5 х ВГН или повышение билирубина &gt;1.5 х ВГН). </w:t>
      </w:r>
      <w:bookmarkStart w:id="22" w:name="_Hlk500886855"/>
      <w:r w:rsidRPr="00E22DDB">
        <w:rPr>
          <w:rFonts w:ascii="Times New Roman" w:eastAsia="Times New Roman" w:hAnsi="Times New Roman" w:cs="Times New Roman"/>
          <w:kern w:val="1"/>
          <w:sz w:val="24"/>
          <w:szCs w:val="24"/>
          <w:lang w:eastAsia="ar-SA"/>
        </w:rPr>
        <w:t xml:space="preserve">В исследовании 3011, гепатотоксичность 3 или 4 наблюдалась у 8.4% пациентов, получавших лечение препаратом </w:t>
      </w:r>
      <w:r w:rsidR="00A54751" w:rsidRPr="00E22DDB">
        <w:rPr>
          <w:rFonts w:ascii="Times New Roman" w:eastAsia="Times New Roman" w:hAnsi="Times New Roman" w:cs="Times New Roman"/>
          <w:kern w:val="1"/>
          <w:sz w:val="24"/>
          <w:szCs w:val="24"/>
          <w:lang w:eastAsia="ar-SA"/>
        </w:rPr>
        <w:t>Бидирон</w:t>
      </w:r>
      <w:r w:rsidRPr="00E22DDB">
        <w:rPr>
          <w:rFonts w:ascii="Times New Roman" w:eastAsia="Times New Roman" w:hAnsi="Times New Roman" w:cs="Times New Roman"/>
          <w:kern w:val="1"/>
          <w:sz w:val="24"/>
          <w:szCs w:val="24"/>
          <w:lang w:eastAsia="ar-SA"/>
        </w:rPr>
        <w:t xml:space="preserve">. Десять пациентов прекратили прием препарата </w:t>
      </w:r>
      <w:r w:rsidR="00A54751" w:rsidRPr="00E22DDB">
        <w:rPr>
          <w:rFonts w:ascii="Times New Roman" w:eastAsia="Times New Roman" w:hAnsi="Times New Roman" w:cs="Times New Roman"/>
          <w:kern w:val="1"/>
          <w:sz w:val="24"/>
          <w:szCs w:val="24"/>
          <w:lang w:eastAsia="ar-SA"/>
        </w:rPr>
        <w:t>Бидирон</w:t>
      </w:r>
      <w:r w:rsidRPr="00E22DDB">
        <w:rPr>
          <w:rFonts w:ascii="Times New Roman" w:eastAsia="Times New Roman" w:hAnsi="Times New Roman" w:cs="Times New Roman"/>
          <w:kern w:val="1"/>
          <w:sz w:val="24"/>
          <w:szCs w:val="24"/>
          <w:vertAlign w:val="superscript"/>
          <w:lang w:eastAsia="ar-SA"/>
        </w:rPr>
        <w:t xml:space="preserve"> </w:t>
      </w:r>
      <w:r w:rsidRPr="00E22DDB">
        <w:rPr>
          <w:rFonts w:ascii="Times New Roman" w:eastAsia="Times New Roman" w:hAnsi="Times New Roman" w:cs="Times New Roman"/>
          <w:kern w:val="1"/>
          <w:sz w:val="24"/>
          <w:szCs w:val="24"/>
          <w:lang w:eastAsia="ar-SA"/>
        </w:rPr>
        <w:t>по причине гепатоксичности; у двоих отмечалась гепатотоксичность 2 степени, у шести отмечалась гепатотоксичность 3 степени и у двоих – гепатотоксичность 4 степени. Смертность по причине гепатотоксичности не отмечалась.</w:t>
      </w:r>
      <w:bookmarkEnd w:id="22"/>
      <w:r w:rsidRPr="00E22DDB">
        <w:rPr>
          <w:rFonts w:ascii="Times New Roman" w:eastAsia="Times New Roman" w:hAnsi="Times New Roman" w:cs="Times New Roman"/>
          <w:kern w:val="1"/>
          <w:sz w:val="24"/>
          <w:szCs w:val="24"/>
          <w:lang w:eastAsia="ar-SA"/>
        </w:rPr>
        <w:t xml:space="preserve"> В клинических исследованиях 3 фазы, пациенты, которые имели повышенный исходный уровень АЛТ или АСТ, были более склонны к повышению показателей функции печени, по сравнению с теми, которые имели нормальные значения функции печени в начале терапии. При наблюдении повышения уровня АЛТ или АСТ &gt;5 х ВГН, или повышении билирубина &gt;3 х ВГН, прием абиратерона ацетата приостанавливался или прекращался. Было отмечено два случая  увеличения функциональных тестов печени. У этих двух пациентов с нормальной исходной </w:t>
      </w:r>
      <w:r w:rsidRPr="00E22DDB">
        <w:rPr>
          <w:rFonts w:ascii="Times New Roman" w:eastAsia="Times New Roman" w:hAnsi="Times New Roman" w:cs="Times New Roman"/>
          <w:kern w:val="1"/>
          <w:sz w:val="24"/>
          <w:szCs w:val="24"/>
          <w:lang w:eastAsia="ar-SA"/>
        </w:rPr>
        <w:lastRenderedPageBreak/>
        <w:t xml:space="preserve">функцией печени наблюдалось повышение АЛТ или АСТ от 15 до 40 х ВГН и повышение уровня билирубина от 2 до 6 х ВГН. После прекращения лечения, у данных пациентов нормализовались показатели функции печени и один из пациентов был подвергнут повторной терапии без повышения функциональных показателей печени. </w:t>
      </w:r>
      <w:r w:rsidR="00A54751" w:rsidRPr="00E22DDB">
        <w:rPr>
          <w:rFonts w:ascii="Times New Roman" w:eastAsia="Times New Roman" w:hAnsi="Times New Roman" w:cs="Times New Roman"/>
          <w:kern w:val="1"/>
          <w:sz w:val="24"/>
          <w:szCs w:val="24"/>
          <w:lang w:eastAsia="ar-SA"/>
        </w:rPr>
        <w:t>П</w:t>
      </w:r>
      <w:r w:rsidRPr="00E22DDB">
        <w:rPr>
          <w:rFonts w:ascii="Times New Roman" w:eastAsia="Times New Roman" w:hAnsi="Times New Roman" w:cs="Times New Roman"/>
          <w:kern w:val="1"/>
          <w:sz w:val="24"/>
          <w:szCs w:val="24"/>
          <w:lang w:eastAsia="ar-SA"/>
        </w:rPr>
        <w:t xml:space="preserve">овышение уровней АЛТ и АСТ 3 или 4 степени наблюдалось у 35 (6.5%) пациентов, получавших лечение абиратерона ацетатом. Повышение уровня аминотрансферазы было устранено у всех пациентов, за исключением 3 больных (двое с новыми множественными метастазами печени и один с повышением уровня АСТ примерно через 3 недели после последней дозы абиратерона ацетата). </w:t>
      </w:r>
      <w:bookmarkStart w:id="23" w:name="_Hlk500886913"/>
      <w:r w:rsidRPr="00E22DDB">
        <w:rPr>
          <w:rFonts w:ascii="Times New Roman" w:eastAsia="Times New Roman" w:hAnsi="Times New Roman" w:cs="Times New Roman"/>
          <w:kern w:val="1"/>
          <w:sz w:val="24"/>
          <w:szCs w:val="24"/>
          <w:lang w:eastAsia="ar-SA"/>
        </w:rPr>
        <w:t xml:space="preserve">В клинических исследованиях 3 фазы, </w:t>
      </w:r>
      <w:bookmarkEnd w:id="23"/>
      <w:r w:rsidRPr="00E22DDB">
        <w:rPr>
          <w:rFonts w:ascii="Times New Roman" w:eastAsia="Times New Roman" w:hAnsi="Times New Roman" w:cs="Times New Roman"/>
          <w:kern w:val="1"/>
          <w:sz w:val="24"/>
          <w:szCs w:val="24"/>
          <w:lang w:eastAsia="ar-SA"/>
        </w:rPr>
        <w:t>прекращение лечения в связи с повышением уровня АЛТ и АСТ отмечалось у 1.1% пациентов, получавших абиратерона ацетат и 0.6% пациентов, получавших плацебо; сообщений о смерти по причине гепатотоксичности не отмечалось.</w:t>
      </w:r>
    </w:p>
    <w:p w14:paraId="3A99476E" w14:textId="458B88B9" w:rsidR="00257401" w:rsidRPr="00E22DDB" w:rsidRDefault="00257401" w:rsidP="00701A32">
      <w:pPr>
        <w:widowControl w:val="0"/>
        <w:suppressAutoHyphens/>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В клинических испытаниях, риск гепатотоксичности минимизировался путем исключения пациентов с исходным гепатитом или значительными нарушениями функции печени. В </w:t>
      </w:r>
      <w:r w:rsidR="00A54751" w:rsidRPr="00E22DDB">
        <w:rPr>
          <w:rFonts w:ascii="Times New Roman" w:eastAsia="Times New Roman" w:hAnsi="Times New Roman" w:cs="Times New Roman"/>
          <w:sz w:val="24"/>
          <w:szCs w:val="24"/>
        </w:rPr>
        <w:t>исследовании</w:t>
      </w:r>
      <w:r w:rsidRPr="00E22DDB">
        <w:rPr>
          <w:rFonts w:ascii="Times New Roman" w:eastAsia="Times New Roman" w:hAnsi="Times New Roman" w:cs="Times New Roman"/>
          <w:sz w:val="24"/>
          <w:szCs w:val="24"/>
        </w:rPr>
        <w:t xml:space="preserve"> были исключены пациенты с исходными значениями АЛС и АСТ ≥2.5 х ВГН при отсутствии метастазов в печени и &gt;5 х ВГН при наличии метастазов печени. </w:t>
      </w:r>
      <w:bookmarkStart w:id="24" w:name="_Hlk500887100"/>
      <w:r w:rsidRPr="00E22DDB">
        <w:rPr>
          <w:rFonts w:ascii="Times New Roman" w:eastAsia="Times New Roman" w:hAnsi="Times New Roman" w:cs="Times New Roman"/>
          <w:sz w:val="24"/>
          <w:szCs w:val="24"/>
        </w:rPr>
        <w:t xml:space="preserve">Из  исследования были исключены пациенты с исходными значениями АЛТ и АСТ &gt;2.5 </w:t>
      </w:r>
      <w:r w:rsidRPr="00E22DDB">
        <w:rPr>
          <w:rFonts w:ascii="Times New Roman" w:eastAsia="Times New Roman" w:hAnsi="Times New Roman" w:cs="Times New Roman"/>
          <w:sz w:val="24"/>
          <w:szCs w:val="24"/>
          <w:lang w:val="en-US"/>
        </w:rPr>
        <w:t>X</w:t>
      </w:r>
      <w:r w:rsidRPr="00E22DDB">
        <w:rPr>
          <w:rFonts w:ascii="Times New Roman" w:eastAsia="Times New Roman" w:hAnsi="Times New Roman" w:cs="Times New Roman"/>
          <w:sz w:val="24"/>
          <w:szCs w:val="24"/>
        </w:rPr>
        <w:t xml:space="preserve"> ВГН, билирубина &gt;1.5 </w:t>
      </w:r>
      <w:r w:rsidRPr="00E22DDB">
        <w:rPr>
          <w:rFonts w:ascii="Times New Roman" w:eastAsia="Times New Roman" w:hAnsi="Times New Roman" w:cs="Times New Roman"/>
          <w:sz w:val="24"/>
          <w:szCs w:val="24"/>
          <w:lang w:val="en-US"/>
        </w:rPr>
        <w:t>X</w:t>
      </w:r>
      <w:r w:rsidRPr="00E22DDB">
        <w:rPr>
          <w:rFonts w:ascii="Times New Roman" w:eastAsia="Times New Roman" w:hAnsi="Times New Roman" w:cs="Times New Roman"/>
          <w:sz w:val="24"/>
          <w:szCs w:val="24"/>
        </w:rPr>
        <w:t xml:space="preserve"> ВГН или пациенты с активным или симптоматическим вирусным гепатитом или хроническим заболеванием печени; асцитом или вторичными по отношению к дисфункции печени нарушениями свертываемости крови.</w:t>
      </w:r>
      <w:bookmarkEnd w:id="24"/>
      <w:r w:rsidRPr="00E22DDB">
        <w:rPr>
          <w:rFonts w:ascii="Times New Roman" w:eastAsia="Times New Roman" w:hAnsi="Times New Roman" w:cs="Times New Roman"/>
          <w:sz w:val="24"/>
          <w:szCs w:val="24"/>
        </w:rPr>
        <w:t xml:space="preserve"> Из исследования были исключены пациенты с метастазами в печени и пациенты с исходной АЛТ и АСТ ≥2.5 х ВГН. Пациентам, у которых развивались отклонения показателей функции печени во время проведения клинических испытаний рекомендовалось прерывание лечения и повторное лечение разрешалось только после нормализации функции печени до исходных значений пациента. Пациенты с показателями АЛТ или АСТ &gt;20 х ВГН не допускались к повторной терапии. Безопасность повторного лечения у таких пациентов неизвестна. Механизм гепатотоксичности </w:t>
      </w:r>
      <w:bookmarkStart w:id="25" w:name="_Hlk500887132"/>
      <w:r w:rsidRPr="00E22DDB">
        <w:rPr>
          <w:rFonts w:ascii="Times New Roman" w:eastAsia="Times New Roman" w:hAnsi="Times New Roman" w:cs="Times New Roman"/>
          <w:sz w:val="24"/>
          <w:szCs w:val="24"/>
        </w:rPr>
        <w:t>до конца не понятен</w:t>
      </w:r>
      <w:bookmarkEnd w:id="25"/>
      <w:r w:rsidRPr="00E22DDB">
        <w:rPr>
          <w:rFonts w:ascii="Times New Roman" w:eastAsia="Times New Roman" w:hAnsi="Times New Roman" w:cs="Times New Roman"/>
          <w:sz w:val="24"/>
          <w:szCs w:val="24"/>
        </w:rPr>
        <w:t>.</w:t>
      </w:r>
    </w:p>
    <w:bookmarkEnd w:id="20"/>
    <w:p w14:paraId="1509083D" w14:textId="77777777" w:rsidR="00DF14C5" w:rsidRPr="00E22DDB" w:rsidRDefault="00DF14C5" w:rsidP="00701A32">
      <w:pPr>
        <w:widowControl w:val="0"/>
        <w:suppressAutoHyphens/>
        <w:spacing w:after="0" w:line="240" w:lineRule="auto"/>
        <w:jc w:val="both"/>
        <w:rPr>
          <w:rFonts w:ascii="Times New Roman" w:eastAsia="Times New Roman" w:hAnsi="Times New Roman" w:cs="Times New Roman"/>
          <w:sz w:val="24"/>
          <w:szCs w:val="24"/>
        </w:rPr>
      </w:pPr>
    </w:p>
    <w:p w14:paraId="255624D9" w14:textId="77777777" w:rsidR="006072EB" w:rsidRPr="00E22DDB" w:rsidRDefault="006072EB" w:rsidP="006072EB">
      <w:pPr>
        <w:widowControl w:val="0"/>
        <w:suppressAutoHyphens/>
        <w:spacing w:after="0" w:line="240" w:lineRule="auto"/>
        <w:jc w:val="both"/>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 xml:space="preserve">Сообщение о подозреваемых нежелательных реакциях </w:t>
      </w:r>
    </w:p>
    <w:p w14:paraId="74D06328" w14:textId="77777777" w:rsidR="006072EB" w:rsidRPr="00E22DDB" w:rsidRDefault="006072EB" w:rsidP="006072EB">
      <w:pPr>
        <w:widowControl w:val="0"/>
        <w:suppressAutoHyphens/>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Важно сообщать о подозреваемых нежелательных реакциях после регистрации ЛП с целью обеспечения непрерывного </w:t>
      </w:r>
      <w:r w:rsidR="009E1899" w:rsidRPr="00E22DDB">
        <w:rPr>
          <w:rFonts w:ascii="Times New Roman" w:eastAsia="Times New Roman" w:hAnsi="Times New Roman" w:cs="Times New Roman"/>
          <w:sz w:val="24"/>
          <w:szCs w:val="24"/>
        </w:rPr>
        <w:t>мониторинга соотношения «польза</w:t>
      </w:r>
      <w:r w:rsidRPr="00E22DDB">
        <w:rPr>
          <w:rFonts w:ascii="Times New Roman" w:eastAsia="Times New Roman" w:hAnsi="Times New Roman" w:cs="Times New Roman"/>
          <w:sz w:val="24"/>
          <w:szCs w:val="24"/>
        </w:rPr>
        <w:t xml:space="preserve">–риск» ЛП.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 </w:t>
      </w:r>
    </w:p>
    <w:p w14:paraId="7978FCEC" w14:textId="40AF317B" w:rsidR="006072EB" w:rsidRPr="00E22DDB" w:rsidRDefault="006072EB" w:rsidP="0046096C">
      <w:pPr>
        <w:widowControl w:val="0"/>
        <w:suppressAutoHyphens/>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РГП на ПХВ «Национальный </w:t>
      </w:r>
      <w:r w:rsidR="009E1899" w:rsidRPr="00E22DDB">
        <w:rPr>
          <w:rFonts w:ascii="Times New Roman" w:eastAsia="Times New Roman" w:hAnsi="Times New Roman" w:cs="Times New Roman"/>
          <w:sz w:val="24"/>
          <w:szCs w:val="24"/>
        </w:rPr>
        <w:t>ц</w:t>
      </w:r>
      <w:r w:rsidRPr="00E22DDB">
        <w:rPr>
          <w:rFonts w:ascii="Times New Roman" w:eastAsia="Times New Roman" w:hAnsi="Times New Roman" w:cs="Times New Roman"/>
          <w:sz w:val="24"/>
          <w:szCs w:val="24"/>
        </w:rPr>
        <w:t>ентр экспертизы лекарственных средств и медицинских изделий</w:t>
      </w:r>
      <w:r w:rsidR="009E1899" w:rsidRPr="00E22DDB">
        <w:rPr>
          <w:rFonts w:ascii="Times New Roman" w:eastAsia="Times New Roman" w:hAnsi="Times New Roman" w:cs="Times New Roman"/>
          <w:sz w:val="24"/>
          <w:szCs w:val="24"/>
        </w:rPr>
        <w:t>»</w:t>
      </w:r>
      <w:r w:rsidRPr="00E22DDB">
        <w:rPr>
          <w:rFonts w:ascii="Times New Roman" w:eastAsia="Times New Roman" w:hAnsi="Times New Roman" w:cs="Times New Roman"/>
          <w:sz w:val="24"/>
          <w:szCs w:val="24"/>
        </w:rPr>
        <w:t xml:space="preserve"> Комитета </w:t>
      </w:r>
      <w:r w:rsidR="0046096C" w:rsidRPr="00E22DDB">
        <w:rPr>
          <w:rFonts w:ascii="Times New Roman" w:eastAsia="Times New Roman" w:hAnsi="Times New Roman" w:cs="Times New Roman"/>
          <w:sz w:val="24"/>
          <w:szCs w:val="24"/>
        </w:rPr>
        <w:t xml:space="preserve">медицинского и фармацевтического </w:t>
      </w:r>
      <w:r w:rsidRPr="00E22DDB">
        <w:rPr>
          <w:rFonts w:ascii="Times New Roman" w:eastAsia="Times New Roman" w:hAnsi="Times New Roman" w:cs="Times New Roman"/>
          <w:sz w:val="24"/>
          <w:szCs w:val="24"/>
        </w:rPr>
        <w:t>контроля Министерства здрав</w:t>
      </w:r>
      <w:r w:rsidR="009E1899" w:rsidRPr="00E22DDB">
        <w:rPr>
          <w:rFonts w:ascii="Times New Roman" w:eastAsia="Times New Roman" w:hAnsi="Times New Roman" w:cs="Times New Roman"/>
          <w:sz w:val="24"/>
          <w:szCs w:val="24"/>
        </w:rPr>
        <w:t>оохранения Республики Казахстан</w:t>
      </w:r>
    </w:p>
    <w:p w14:paraId="318BF2A1" w14:textId="77777777" w:rsidR="006072EB" w:rsidRPr="00E22DDB" w:rsidRDefault="007610DE" w:rsidP="00701A32">
      <w:pPr>
        <w:widowControl w:val="0"/>
        <w:suppressAutoHyphens/>
        <w:spacing w:after="0" w:line="240" w:lineRule="auto"/>
        <w:jc w:val="both"/>
        <w:rPr>
          <w:rFonts w:ascii="Times New Roman" w:eastAsia="Times New Roman" w:hAnsi="Times New Roman" w:cs="Times New Roman"/>
          <w:sz w:val="24"/>
          <w:szCs w:val="24"/>
        </w:rPr>
      </w:pPr>
      <w:hyperlink r:id="rId7" w:history="1">
        <w:r w:rsidR="006072EB" w:rsidRPr="00E22DDB">
          <w:rPr>
            <w:rStyle w:val="a3"/>
            <w:rFonts w:ascii="Times New Roman" w:eastAsia="Times New Roman" w:hAnsi="Times New Roman" w:cs="Times New Roman"/>
            <w:sz w:val="24"/>
            <w:szCs w:val="24"/>
            <w:lang w:val="en-US"/>
          </w:rPr>
          <w:t>http</w:t>
        </w:r>
        <w:r w:rsidR="006072EB" w:rsidRPr="00E22DDB">
          <w:rPr>
            <w:rStyle w:val="a3"/>
            <w:rFonts w:ascii="Times New Roman" w:eastAsia="Times New Roman" w:hAnsi="Times New Roman" w:cs="Times New Roman"/>
            <w:sz w:val="24"/>
            <w:szCs w:val="24"/>
          </w:rPr>
          <w:t>://</w:t>
        </w:r>
        <w:r w:rsidR="006072EB" w:rsidRPr="00E22DDB">
          <w:rPr>
            <w:rStyle w:val="a3"/>
            <w:rFonts w:ascii="Times New Roman" w:eastAsia="Times New Roman" w:hAnsi="Times New Roman" w:cs="Times New Roman"/>
            <w:sz w:val="24"/>
            <w:szCs w:val="24"/>
            <w:lang w:val="en-US"/>
          </w:rPr>
          <w:t>www</w:t>
        </w:r>
        <w:r w:rsidR="006072EB" w:rsidRPr="00E22DDB">
          <w:rPr>
            <w:rStyle w:val="a3"/>
            <w:rFonts w:ascii="Times New Roman" w:eastAsia="Times New Roman" w:hAnsi="Times New Roman" w:cs="Times New Roman"/>
            <w:sz w:val="24"/>
            <w:szCs w:val="24"/>
          </w:rPr>
          <w:t>.</w:t>
        </w:r>
        <w:r w:rsidR="006072EB" w:rsidRPr="00E22DDB">
          <w:rPr>
            <w:rStyle w:val="a3"/>
            <w:rFonts w:ascii="Times New Roman" w:eastAsia="Times New Roman" w:hAnsi="Times New Roman" w:cs="Times New Roman"/>
            <w:sz w:val="24"/>
            <w:szCs w:val="24"/>
            <w:lang w:val="en-US"/>
          </w:rPr>
          <w:t>ndda</w:t>
        </w:r>
        <w:r w:rsidR="006072EB" w:rsidRPr="00E22DDB">
          <w:rPr>
            <w:rStyle w:val="a3"/>
            <w:rFonts w:ascii="Times New Roman" w:eastAsia="Times New Roman" w:hAnsi="Times New Roman" w:cs="Times New Roman"/>
            <w:sz w:val="24"/>
            <w:szCs w:val="24"/>
          </w:rPr>
          <w:t>.</w:t>
        </w:r>
        <w:r w:rsidR="006072EB" w:rsidRPr="00E22DDB">
          <w:rPr>
            <w:rStyle w:val="a3"/>
            <w:rFonts w:ascii="Times New Roman" w:eastAsia="Times New Roman" w:hAnsi="Times New Roman" w:cs="Times New Roman"/>
            <w:sz w:val="24"/>
            <w:szCs w:val="24"/>
            <w:lang w:val="en-US"/>
          </w:rPr>
          <w:t>kz</w:t>
        </w:r>
      </w:hyperlink>
    </w:p>
    <w:p w14:paraId="60E7DEEE" w14:textId="77777777" w:rsidR="00055682" w:rsidRPr="00E22DDB" w:rsidRDefault="003B7E47" w:rsidP="006072EB">
      <w:pPr>
        <w:spacing w:before="240"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4.9. Передозировка</w:t>
      </w:r>
    </w:p>
    <w:p w14:paraId="3A604580" w14:textId="77777777" w:rsidR="00B72275" w:rsidRPr="00E22DDB" w:rsidRDefault="009E1899" w:rsidP="006072EB">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И</w:t>
      </w:r>
      <w:r w:rsidR="00B72275" w:rsidRPr="00E22DDB">
        <w:rPr>
          <w:rFonts w:ascii="Times New Roman" w:hAnsi="Times New Roman" w:cs="Times New Roman"/>
          <w:sz w:val="24"/>
          <w:szCs w:val="24"/>
        </w:rPr>
        <w:t>нформация о случаях передозировки препаратом Бидирон у людей ограничена.</w:t>
      </w:r>
    </w:p>
    <w:p w14:paraId="1A570EB4" w14:textId="77777777" w:rsidR="00055682" w:rsidRPr="00E22DDB" w:rsidRDefault="009E1899" w:rsidP="006072EB">
      <w:pPr>
        <w:spacing w:after="0" w:line="240" w:lineRule="auto"/>
        <w:jc w:val="both"/>
        <w:rPr>
          <w:rFonts w:ascii="Times New Roman" w:hAnsi="Times New Roman" w:cs="Times New Roman"/>
          <w:sz w:val="24"/>
          <w:szCs w:val="24"/>
        </w:rPr>
      </w:pPr>
      <w:r w:rsidRPr="00E22DDB">
        <w:rPr>
          <w:rFonts w:ascii="Times New Roman" w:hAnsi="Times New Roman"/>
          <w:sz w:val="24"/>
          <w:szCs w:val="24"/>
        </w:rPr>
        <w:t>С</w:t>
      </w:r>
      <w:r w:rsidR="00B72275" w:rsidRPr="00E22DDB">
        <w:rPr>
          <w:rFonts w:ascii="Times New Roman" w:hAnsi="Times New Roman"/>
          <w:sz w:val="24"/>
          <w:szCs w:val="24"/>
        </w:rPr>
        <w:t>пецифического антидота не существует. В случае передозировки следует прекратить приём, а также предпринять общие поддерживающие меры, включая мониторинг аритмии, гипокалиемии и признаков и симптомов задержки жидкости. Также, следует контролировать функцию печени.</w:t>
      </w:r>
    </w:p>
    <w:p w14:paraId="18DBC2A5" w14:textId="77777777" w:rsidR="006072EB" w:rsidRPr="00E22DDB" w:rsidRDefault="006072EB" w:rsidP="006072EB">
      <w:pPr>
        <w:spacing w:after="0" w:line="240" w:lineRule="auto"/>
        <w:jc w:val="both"/>
        <w:rPr>
          <w:rFonts w:ascii="Times New Roman" w:hAnsi="Times New Roman" w:cs="Times New Roman"/>
          <w:sz w:val="24"/>
          <w:szCs w:val="24"/>
        </w:rPr>
      </w:pPr>
    </w:p>
    <w:p w14:paraId="41C6F0B5" w14:textId="77777777" w:rsidR="00A72229" w:rsidRPr="00E22DDB" w:rsidRDefault="00A72229" w:rsidP="006072EB">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5. Фармакологические свойства</w:t>
      </w:r>
    </w:p>
    <w:p w14:paraId="080D3583" w14:textId="77777777" w:rsidR="006072EB" w:rsidRPr="00E22DDB" w:rsidRDefault="00A72229" w:rsidP="006072EB">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5.</w:t>
      </w:r>
      <w:r w:rsidR="003B7E47" w:rsidRPr="00E22DDB">
        <w:rPr>
          <w:rFonts w:ascii="Times New Roman" w:hAnsi="Times New Roman" w:cs="Times New Roman"/>
          <w:b/>
          <w:sz w:val="24"/>
          <w:szCs w:val="24"/>
        </w:rPr>
        <w:t>1. Фармакодинамические свойства</w:t>
      </w:r>
    </w:p>
    <w:p w14:paraId="7DCA8953" w14:textId="77777777" w:rsidR="009901E9" w:rsidRPr="00E22DDB" w:rsidRDefault="006072EB" w:rsidP="00F333E6">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 xml:space="preserve">Фармакотерапевтическая группа: </w:t>
      </w:r>
      <w:r w:rsidR="003B7E47" w:rsidRPr="00E22DDB">
        <w:rPr>
          <w:rFonts w:ascii="Times New Roman" w:hAnsi="Times New Roman" w:cs="Times New Roman"/>
          <w:sz w:val="24"/>
          <w:szCs w:val="24"/>
        </w:rPr>
        <w:t>Энд</w:t>
      </w:r>
      <w:r w:rsidR="009901E9" w:rsidRPr="00E22DDB">
        <w:rPr>
          <w:rFonts w:ascii="Times New Roman" w:hAnsi="Times New Roman" w:cs="Times New Roman"/>
          <w:sz w:val="24"/>
          <w:szCs w:val="24"/>
        </w:rPr>
        <w:t xml:space="preserve">окринная терапия. Гормонов антагонисты и их аналоги. </w:t>
      </w:r>
      <w:r w:rsidR="009E1899" w:rsidRPr="00E22DDB">
        <w:rPr>
          <w:rFonts w:ascii="Times New Roman" w:hAnsi="Times New Roman" w:cs="Times New Roman"/>
          <w:sz w:val="24"/>
          <w:szCs w:val="24"/>
        </w:rPr>
        <w:t xml:space="preserve">Гормонов антагонисты другие и их аналоги. </w:t>
      </w:r>
      <w:r w:rsidR="009901E9" w:rsidRPr="00E22DDB">
        <w:rPr>
          <w:rFonts w:ascii="Times New Roman" w:hAnsi="Times New Roman" w:cs="Times New Roman"/>
          <w:sz w:val="24"/>
          <w:szCs w:val="24"/>
        </w:rPr>
        <w:t>Абиратерон</w:t>
      </w:r>
    </w:p>
    <w:p w14:paraId="3B9B9BCF" w14:textId="400C0451" w:rsidR="009E1899" w:rsidRPr="00E22DDB" w:rsidRDefault="00A72229" w:rsidP="00701A32">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 xml:space="preserve">Код АТХ </w:t>
      </w:r>
      <w:r w:rsidR="005C4922" w:rsidRPr="00E22DDB">
        <w:rPr>
          <w:rFonts w:ascii="Times New Roman" w:hAnsi="Times New Roman" w:cs="Times New Roman"/>
          <w:sz w:val="24"/>
          <w:szCs w:val="24"/>
        </w:rPr>
        <w:t>L02BX03</w:t>
      </w:r>
    </w:p>
    <w:p w14:paraId="5BB52F76" w14:textId="77777777" w:rsidR="005D15DC" w:rsidRPr="00E22DDB" w:rsidRDefault="005D15DC" w:rsidP="00701A32">
      <w:pPr>
        <w:spacing w:after="0" w:line="240" w:lineRule="auto"/>
        <w:jc w:val="both"/>
        <w:rPr>
          <w:rFonts w:ascii="Times New Roman" w:eastAsia="Calibri" w:hAnsi="Times New Roman" w:cs="Times New Roman"/>
          <w:i/>
          <w:sz w:val="24"/>
          <w:szCs w:val="24"/>
          <w:lang w:bidi="ar-IQ"/>
        </w:rPr>
      </w:pPr>
      <w:r w:rsidRPr="00E22DDB">
        <w:rPr>
          <w:rFonts w:ascii="Times New Roman" w:eastAsia="Calibri" w:hAnsi="Times New Roman" w:cs="Times New Roman"/>
          <w:i/>
          <w:iCs/>
          <w:sz w:val="24"/>
          <w:szCs w:val="24"/>
          <w:lang w:bidi="ar-IQ"/>
        </w:rPr>
        <w:t>Механизм действия</w:t>
      </w:r>
    </w:p>
    <w:p w14:paraId="50EAA4D9" w14:textId="4E2C4266" w:rsidR="005C4922" w:rsidRPr="00E22DDB" w:rsidRDefault="005C4922" w:rsidP="00701A3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lastRenderedPageBreak/>
        <w:t xml:space="preserve">Абиратерона ацетат в условиях </w:t>
      </w:r>
      <w:r w:rsidRPr="00E22DDB">
        <w:rPr>
          <w:rFonts w:ascii="Times New Roman" w:eastAsia="Times New Roman" w:hAnsi="Times New Roman" w:cs="Times New Roman"/>
          <w:i/>
          <w:sz w:val="24"/>
          <w:szCs w:val="24"/>
          <w:lang w:val="en-US"/>
        </w:rPr>
        <w:t>in</w:t>
      </w:r>
      <w:r w:rsidRPr="00E22DDB">
        <w:rPr>
          <w:rFonts w:ascii="Times New Roman" w:eastAsia="Times New Roman" w:hAnsi="Times New Roman" w:cs="Times New Roman"/>
          <w:i/>
          <w:sz w:val="24"/>
          <w:szCs w:val="24"/>
        </w:rPr>
        <w:t xml:space="preserve"> </w:t>
      </w:r>
      <w:r w:rsidRPr="00E22DDB">
        <w:rPr>
          <w:rFonts w:ascii="Times New Roman" w:eastAsia="Times New Roman" w:hAnsi="Times New Roman" w:cs="Times New Roman"/>
          <w:i/>
          <w:sz w:val="24"/>
          <w:szCs w:val="24"/>
          <w:lang w:val="en-US"/>
        </w:rPr>
        <w:t>vivo</w:t>
      </w:r>
      <w:r w:rsidRPr="00E22DDB">
        <w:rPr>
          <w:rFonts w:ascii="Times New Roman" w:eastAsia="Times New Roman" w:hAnsi="Times New Roman" w:cs="Times New Roman"/>
          <w:i/>
          <w:sz w:val="24"/>
          <w:szCs w:val="24"/>
        </w:rPr>
        <w:t xml:space="preserve"> </w:t>
      </w:r>
      <w:r w:rsidRPr="00E22DDB">
        <w:rPr>
          <w:rFonts w:ascii="Times New Roman" w:eastAsia="Times New Roman" w:hAnsi="Times New Roman" w:cs="Times New Roman"/>
          <w:sz w:val="24"/>
          <w:szCs w:val="24"/>
        </w:rPr>
        <w:t>превращается в абиратерон, ингибитор биосинтеза андрогенов.</w:t>
      </w:r>
      <w:r w:rsidRPr="00E22DDB">
        <w:rPr>
          <w:rFonts w:ascii="Times New Roman" w:eastAsia="Times New Roman" w:hAnsi="Times New Roman" w:cs="Times New Roman"/>
          <w:i/>
          <w:sz w:val="24"/>
          <w:szCs w:val="24"/>
        </w:rPr>
        <w:t xml:space="preserve"> </w:t>
      </w:r>
      <w:r w:rsidRPr="00E22DDB">
        <w:rPr>
          <w:rFonts w:ascii="Times New Roman" w:eastAsia="Times New Roman" w:hAnsi="Times New Roman" w:cs="Times New Roman"/>
          <w:sz w:val="24"/>
          <w:szCs w:val="24"/>
        </w:rPr>
        <w:t>Абиратерон селективно ингибирует фермент 17</w:t>
      </w:r>
      <w:r w:rsidRPr="00E22DDB">
        <w:rPr>
          <w:rFonts w:ascii="Times New Roman" w:eastAsia="Times New Roman" w:hAnsi="Times New Roman" w:cs="Times New Roman"/>
          <w:sz w:val="24"/>
          <w:szCs w:val="24"/>
          <w:lang w:val="en-US"/>
        </w:rPr>
        <w:t>α</w:t>
      </w:r>
      <w:r w:rsidRPr="00E22DDB">
        <w:rPr>
          <w:rFonts w:ascii="Times New Roman" w:eastAsia="Times New Roman" w:hAnsi="Times New Roman" w:cs="Times New Roman"/>
          <w:sz w:val="24"/>
          <w:szCs w:val="24"/>
        </w:rPr>
        <w:t>-гидроксилазу/</w:t>
      </w:r>
      <w:r w:rsidRPr="00E22DDB">
        <w:rPr>
          <w:rFonts w:ascii="Times New Roman" w:eastAsia="Times New Roman" w:hAnsi="Times New Roman" w:cs="Times New Roman"/>
          <w:sz w:val="24"/>
          <w:szCs w:val="24"/>
          <w:lang w:val="en-US"/>
        </w:rPr>
        <w:t>C</w:t>
      </w:r>
      <w:r w:rsidRPr="00E22DDB">
        <w:rPr>
          <w:rFonts w:ascii="Times New Roman" w:eastAsia="Times New Roman" w:hAnsi="Times New Roman" w:cs="Times New Roman"/>
          <w:sz w:val="24"/>
          <w:szCs w:val="24"/>
        </w:rPr>
        <w:t>17,20-лиазу (</w:t>
      </w:r>
      <w:r w:rsidRPr="00E22DDB">
        <w:rPr>
          <w:rFonts w:ascii="Times New Roman" w:eastAsia="Times New Roman" w:hAnsi="Times New Roman" w:cs="Times New Roman"/>
          <w:sz w:val="24"/>
          <w:szCs w:val="24"/>
          <w:lang w:val="en-US"/>
        </w:rPr>
        <w:t>CYP</w:t>
      </w:r>
      <w:r w:rsidRPr="00E22DDB">
        <w:rPr>
          <w:rFonts w:ascii="Times New Roman" w:eastAsia="Times New Roman" w:hAnsi="Times New Roman" w:cs="Times New Roman"/>
          <w:sz w:val="24"/>
          <w:szCs w:val="24"/>
        </w:rPr>
        <w:t xml:space="preserve">17). Данный фермент экспрессируется и необходим для биосинтеза андрогенов в яичках, надпочечниках и клетках опухоли предстательной железы. </w:t>
      </w:r>
      <w:r w:rsidRPr="00E22DDB">
        <w:rPr>
          <w:rFonts w:ascii="Times New Roman" w:eastAsia="Times New Roman" w:hAnsi="Times New Roman" w:cs="Times New Roman"/>
          <w:sz w:val="24"/>
          <w:szCs w:val="24"/>
          <w:lang w:val="en-US"/>
        </w:rPr>
        <w:t>CYP</w:t>
      </w:r>
      <w:r w:rsidRPr="00E22DDB">
        <w:rPr>
          <w:rFonts w:ascii="Times New Roman" w:eastAsia="Times New Roman" w:hAnsi="Times New Roman" w:cs="Times New Roman"/>
          <w:sz w:val="24"/>
          <w:szCs w:val="24"/>
        </w:rPr>
        <w:t>17 катализирует превращение прегненолона и прогестерона путем 17</w:t>
      </w:r>
      <w:r w:rsidRPr="00E22DDB">
        <w:rPr>
          <w:rFonts w:ascii="Times New Roman" w:eastAsia="Times New Roman" w:hAnsi="Times New Roman" w:cs="Times New Roman"/>
          <w:sz w:val="24"/>
          <w:szCs w:val="24"/>
          <w:lang w:val="en-US"/>
        </w:rPr>
        <w:t>α</w:t>
      </w:r>
      <w:r w:rsidRPr="00E22DDB">
        <w:rPr>
          <w:rFonts w:ascii="Times New Roman" w:eastAsia="Times New Roman" w:hAnsi="Times New Roman" w:cs="Times New Roman"/>
          <w:sz w:val="24"/>
          <w:szCs w:val="24"/>
        </w:rPr>
        <w:t xml:space="preserve">-гидроксилирования и разрыва связи </w:t>
      </w:r>
      <w:r w:rsidRPr="00E22DDB">
        <w:rPr>
          <w:rFonts w:ascii="Times New Roman" w:eastAsia="Times New Roman" w:hAnsi="Times New Roman" w:cs="Times New Roman"/>
          <w:sz w:val="24"/>
          <w:szCs w:val="24"/>
          <w:lang w:val="en-US"/>
        </w:rPr>
        <w:t>C</w:t>
      </w:r>
      <w:r w:rsidRPr="00E22DDB">
        <w:rPr>
          <w:rFonts w:ascii="Times New Roman" w:eastAsia="Times New Roman" w:hAnsi="Times New Roman" w:cs="Times New Roman"/>
          <w:sz w:val="24"/>
          <w:szCs w:val="24"/>
        </w:rPr>
        <w:t xml:space="preserve">17, 20 в предшественники тестостерона: дегидроэпиандростерон и андростендион, соответственно. Торможение активности </w:t>
      </w:r>
      <w:r w:rsidRPr="00E22DDB">
        <w:rPr>
          <w:rFonts w:ascii="Times New Roman" w:eastAsia="Times New Roman" w:hAnsi="Times New Roman" w:cs="Times New Roman"/>
          <w:sz w:val="24"/>
          <w:szCs w:val="24"/>
          <w:lang w:val="en-US"/>
        </w:rPr>
        <w:t>CYP</w:t>
      </w:r>
      <w:r w:rsidRPr="00E22DDB">
        <w:rPr>
          <w:rFonts w:ascii="Times New Roman" w:eastAsia="Times New Roman" w:hAnsi="Times New Roman" w:cs="Times New Roman"/>
          <w:sz w:val="24"/>
          <w:szCs w:val="24"/>
        </w:rPr>
        <w:t>17 также сопровождается усилением синтеза минералокортикоидов в надпочечниках</w:t>
      </w:r>
      <w:r w:rsidR="00DF14C5" w:rsidRPr="00E22DDB">
        <w:rPr>
          <w:rFonts w:ascii="Times New Roman" w:eastAsia="Times New Roman" w:hAnsi="Times New Roman" w:cs="Times New Roman"/>
          <w:sz w:val="24"/>
          <w:szCs w:val="24"/>
        </w:rPr>
        <w:t xml:space="preserve"> (см. раздел 4.4)</w:t>
      </w:r>
      <w:r w:rsidRPr="00E22DDB">
        <w:rPr>
          <w:rFonts w:ascii="Times New Roman" w:eastAsia="Times New Roman" w:hAnsi="Times New Roman" w:cs="Times New Roman"/>
          <w:sz w:val="24"/>
          <w:szCs w:val="24"/>
        </w:rPr>
        <w:t xml:space="preserve">. </w:t>
      </w:r>
    </w:p>
    <w:p w14:paraId="54C2F0A6" w14:textId="77777777" w:rsidR="005C4922" w:rsidRPr="00E22DDB" w:rsidRDefault="005C4922" w:rsidP="00701A32">
      <w:pPr>
        <w:spacing w:after="0" w:line="240" w:lineRule="auto"/>
        <w:jc w:val="both"/>
        <w:textAlignment w:val="top"/>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Андроген-чувствительный рак предстательной железы реагирует на лечение,  снижающее уровень андрогенов. Антиандрогенная терапия, например, применение  агонистов ЛГРГ (лютеинизирующего гормона рилизинг-гормон)</w:t>
      </w:r>
      <w:r w:rsidRPr="00E22DDB">
        <w:rPr>
          <w:rFonts w:ascii="Times New Roman" w:eastAsia="Times New Roman" w:hAnsi="Times New Roman" w:cs="Times New Roman"/>
          <w:color w:val="666156"/>
          <w:sz w:val="24"/>
          <w:szCs w:val="24"/>
        </w:rPr>
        <w:t xml:space="preserve"> </w:t>
      </w:r>
      <w:r w:rsidRPr="00E22DDB">
        <w:rPr>
          <w:rFonts w:ascii="Times New Roman" w:eastAsia="Times New Roman" w:hAnsi="Times New Roman" w:cs="Times New Roman"/>
          <w:sz w:val="24"/>
          <w:szCs w:val="24"/>
        </w:rPr>
        <w:t xml:space="preserve">или орхиэктомия, ослабляют синтез андрогенов в яичках, но не влияет на синтез андрогенов надпочечниками и в опухоли. Использование препарата Бидирон в сочетании с агонистами ЛГРГ (или орхиэктомией) снижает уровень тестостерона в сыворотке крови до уровня ниже порога определения. </w:t>
      </w:r>
    </w:p>
    <w:p w14:paraId="5596E5A6" w14:textId="77777777" w:rsidR="0051654E" w:rsidRPr="00E22DDB" w:rsidRDefault="005C4922" w:rsidP="00701A32">
      <w:pPr>
        <w:autoSpaceDE w:val="0"/>
        <w:autoSpaceDN w:val="0"/>
        <w:adjustRightInd w:val="0"/>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Фармакодинамические эффекты</w:t>
      </w:r>
    </w:p>
    <w:p w14:paraId="18F4E6E0" w14:textId="12FC1FAB" w:rsidR="005C4922" w:rsidRPr="00E22DDB" w:rsidRDefault="005C4922" w:rsidP="00701A32">
      <w:pPr>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Препарат Бидирон</w:t>
      </w:r>
      <w:r w:rsidRPr="00E22DDB">
        <w:rPr>
          <w:rFonts w:ascii="Times New Roman" w:eastAsia="Times New Roman" w:hAnsi="Times New Roman" w:cs="Times New Roman"/>
          <w:sz w:val="24"/>
          <w:szCs w:val="24"/>
          <w:vertAlign w:val="superscript"/>
        </w:rPr>
        <w:t xml:space="preserve"> </w:t>
      </w:r>
      <w:r w:rsidRPr="00E22DDB">
        <w:rPr>
          <w:rFonts w:ascii="Times New Roman" w:eastAsia="Times New Roman" w:hAnsi="Times New Roman" w:cs="Times New Roman"/>
          <w:sz w:val="24"/>
          <w:szCs w:val="24"/>
        </w:rPr>
        <w:t xml:space="preserve">снижает концентрацию тестостерона и других андрогенов в сыворотке крови до уровней, которые ниже достигнутых при использовании агонистов ЛГРГ или после орхиэктомии. Это является результатом селективного ингибирования фермента </w:t>
      </w:r>
      <w:r w:rsidRPr="00E22DDB">
        <w:rPr>
          <w:rFonts w:ascii="Times New Roman" w:eastAsia="Times New Roman" w:hAnsi="Times New Roman" w:cs="Times New Roman"/>
          <w:sz w:val="24"/>
          <w:szCs w:val="24"/>
          <w:lang w:val="en-US"/>
        </w:rPr>
        <w:t>CYP</w:t>
      </w:r>
      <w:r w:rsidRPr="00E22DDB">
        <w:rPr>
          <w:rFonts w:ascii="Times New Roman" w:eastAsia="Times New Roman" w:hAnsi="Times New Roman" w:cs="Times New Roman"/>
          <w:sz w:val="24"/>
          <w:szCs w:val="24"/>
        </w:rPr>
        <w:t>17, который необходим для биосинтеза андрогенов. Простатспецифический антиген (ПСА) служит биомаркером у пациентов с раком предстательной железы.</w:t>
      </w:r>
    </w:p>
    <w:p w14:paraId="6D57AA13" w14:textId="31F56054" w:rsidR="00DF14C5" w:rsidRPr="00E22DDB" w:rsidRDefault="00DF14C5" w:rsidP="00701A32">
      <w:pPr>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В клиническом исследовании фазы 3 пациентов, у которых предыдущая химиотерапия таксанами оказалась неэффективной, у 38% пациентов, получавших абиратерона ацетат, по сравнению с 10% пациентов, получавших плацебо, наблюдалось снижение уровня ПСА по крайней мере на 50% по сравнению с исходным уровнем.</w:t>
      </w:r>
    </w:p>
    <w:p w14:paraId="0649E37D" w14:textId="77777777" w:rsidR="00F333E6" w:rsidRPr="00E22DDB" w:rsidRDefault="00F333E6" w:rsidP="00701A32">
      <w:pPr>
        <w:autoSpaceDE w:val="0"/>
        <w:autoSpaceDN w:val="0"/>
        <w:adjustRightInd w:val="0"/>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Клиническая эффективность и безопасность</w:t>
      </w:r>
    </w:p>
    <w:p w14:paraId="5BA8EA28"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Эффективность была установлена в ходе трех рандомизированных плацебо-контролируемых многоцентровых клинических исследований 3 фазы (исследования 3011, 302 и 301) с участием пациентов с мГЧРПЖ</w:t>
      </w:r>
      <w:r w:rsidRPr="00E22DDB">
        <w:rPr>
          <w:rFonts w:ascii="Times New Roman" w:eastAsia="TimesNewRoman" w:hAnsi="Times New Roman" w:cs="Times New Roman"/>
          <w:color w:val="FF0000"/>
          <w:sz w:val="24"/>
          <w:szCs w:val="24"/>
          <w:lang w:eastAsia="ru-RU"/>
        </w:rPr>
        <w:t xml:space="preserve"> </w:t>
      </w:r>
      <w:r w:rsidRPr="00E22DDB">
        <w:rPr>
          <w:rFonts w:ascii="Times New Roman" w:eastAsia="TimesNewRoman" w:hAnsi="Times New Roman" w:cs="Times New Roman"/>
          <w:sz w:val="24"/>
          <w:szCs w:val="24"/>
          <w:lang w:eastAsia="ru-RU"/>
        </w:rPr>
        <w:t>и</w:t>
      </w:r>
      <w:r w:rsidRPr="00E22DDB">
        <w:rPr>
          <w:rFonts w:ascii="Times New Roman" w:eastAsia="TimesNewRoman" w:hAnsi="Times New Roman" w:cs="Times New Roman"/>
          <w:color w:val="FF0000"/>
          <w:sz w:val="24"/>
          <w:szCs w:val="24"/>
          <w:lang w:eastAsia="ru-RU"/>
        </w:rPr>
        <w:t xml:space="preserve"> </w:t>
      </w:r>
      <w:r w:rsidRPr="00E22DDB">
        <w:rPr>
          <w:rFonts w:ascii="Times New Roman" w:eastAsia="TimesNewRoman" w:hAnsi="Times New Roman" w:cs="Times New Roman"/>
          <w:sz w:val="24"/>
          <w:szCs w:val="24"/>
          <w:lang w:eastAsia="ru-RU"/>
        </w:rPr>
        <w:t>мКРРПЖ. В исследование 3011 были включены пациенты с впервые диагностированым (в течение 3 месяцев рандомизации) мГЧРПЖ с прогностическими факторами высокого риска. Прогноз высокого риска определялся наличием как минимум 2 из следующих 3 факторов риска: (1) Оценка Глисона ≥8; (2) наличие 3 или более повреждений при сканировании кости; (3) наличие измеримых висцеральных (исключая болезнь лимфатических узлов) метастазов. В активной группе</w:t>
      </w:r>
      <w:r w:rsidR="00714245" w:rsidRPr="00E22DDB">
        <w:rPr>
          <w:rFonts w:ascii="Times New Roman" w:eastAsia="TimesNewRoman" w:hAnsi="Times New Roman" w:cs="Times New Roman"/>
          <w:sz w:val="24"/>
          <w:szCs w:val="24"/>
          <w:lang w:eastAsia="ru-RU"/>
        </w:rPr>
        <w:t>, абиратерон</w:t>
      </w:r>
      <w:r w:rsidRPr="00E22DDB">
        <w:rPr>
          <w:rFonts w:ascii="Times New Roman" w:eastAsia="TimesNewRoman" w:hAnsi="Times New Roman" w:cs="Times New Roman"/>
          <w:sz w:val="24"/>
          <w:szCs w:val="24"/>
          <w:lang w:eastAsia="ru-RU"/>
        </w:rPr>
        <w:t xml:space="preserve"> принимался в дозе 1000 мг в день в сочетании с низкой дозой преднизона 5 мг один раз в день в дополнение к АДТ (Агонист ЛГРГ или орхиэктомия), что составляло стандарт лечения. Пациенты в контрольной группе получали AДT и плацебо как для </w:t>
      </w:r>
      <w:r w:rsidR="00714245" w:rsidRPr="00E22DDB">
        <w:rPr>
          <w:rFonts w:ascii="Times New Roman" w:eastAsia="TimesNewRoman" w:hAnsi="Times New Roman" w:cs="Times New Roman"/>
          <w:sz w:val="24"/>
          <w:szCs w:val="24"/>
          <w:lang w:eastAsia="ru-RU"/>
        </w:rPr>
        <w:t>абиратерона</w:t>
      </w:r>
      <w:r w:rsidRPr="00E22DDB">
        <w:rPr>
          <w:rFonts w:ascii="Times New Roman" w:eastAsia="TimesNewRoman" w:hAnsi="Times New Roman" w:cs="Times New Roman"/>
          <w:sz w:val="24"/>
          <w:szCs w:val="24"/>
          <w:lang w:eastAsia="ru-RU"/>
        </w:rPr>
        <w:t xml:space="preserve"> так и для и преднизона.</w:t>
      </w:r>
    </w:p>
    <w:p w14:paraId="7A2BDFC3"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 исследование 302 были включены пациенты, ранее не получавшие доцетаксел; тогда как в исследование 301 были включены пациенты, ранее уже получавшие доцетаксел. Пациенты использовали аналог ЛГРГ или им была ранее проведена орхиэктомия. В группе активного лечения </w:t>
      </w:r>
      <w:r w:rsidR="00714245" w:rsidRPr="00E22DDB">
        <w:rPr>
          <w:rFonts w:ascii="Times New Roman" w:eastAsia="TimesNewRoman" w:hAnsi="Times New Roman" w:cs="Times New Roman"/>
          <w:sz w:val="24"/>
          <w:szCs w:val="24"/>
          <w:lang w:eastAsia="ru-RU"/>
        </w:rPr>
        <w:t>абиратерон</w:t>
      </w:r>
      <w:r w:rsidRPr="00E22DDB">
        <w:rPr>
          <w:rFonts w:ascii="Times New Roman" w:eastAsia="TimesNewRoman" w:hAnsi="Times New Roman" w:cs="Times New Roman"/>
          <w:sz w:val="24"/>
          <w:szCs w:val="24"/>
          <w:lang w:eastAsia="ru-RU"/>
        </w:rPr>
        <w:t xml:space="preserve"> назначался в дозе 1 000 мг в сутки в комбинации с низкой дозой преднизона или преднизолона – 5 мг 2 раза в сутки. Пациенты контрольной группы получали плацебо и низкую дозу преднизона или преднизолона – 5 мг 2 раза в сутки. </w:t>
      </w:r>
    </w:p>
    <w:p w14:paraId="003436E0"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Изменения сывороточной концентрации PSA не всегда являлись независимым предиктором клинического преимущества. Следовательно, в обоих исследованиях было рекомендовано, чтобы пациенты продолжали получать исследуемые виды лечения до достижения соответствия критериям прекращения терапии, как указано ниже для каждого исследования.</w:t>
      </w:r>
    </w:p>
    <w:p w14:paraId="6E29ECBD"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В обоих исследованиях не допускалось применения спиронолактона, так как спиронолактон связывается с рецепторами андрогена и может повышать уровни PSA.</w:t>
      </w:r>
    </w:p>
    <w:p w14:paraId="596C05CC"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bCs/>
          <w:i/>
          <w:sz w:val="24"/>
          <w:szCs w:val="24"/>
          <w:lang w:eastAsia="ru-RU"/>
        </w:rPr>
      </w:pPr>
      <w:r w:rsidRPr="00E22DDB">
        <w:rPr>
          <w:rFonts w:ascii="Times New Roman" w:eastAsia="TimesNewRoman" w:hAnsi="Times New Roman" w:cs="Times New Roman"/>
          <w:b/>
          <w:bCs/>
          <w:i/>
          <w:sz w:val="24"/>
          <w:szCs w:val="24"/>
          <w:lang w:eastAsia="ru-RU"/>
        </w:rPr>
        <w:t xml:space="preserve">Исследование 3011 (пациенты с впервые диагностированным </w:t>
      </w:r>
      <w:r w:rsidRPr="00E22DDB">
        <w:rPr>
          <w:rFonts w:ascii="Times New Roman" w:eastAsia="TimesNewRoman" w:hAnsi="Times New Roman" w:cs="Times New Roman"/>
          <w:b/>
          <w:i/>
          <w:sz w:val="24"/>
          <w:szCs w:val="24"/>
          <w:lang w:eastAsia="ru-RU"/>
        </w:rPr>
        <w:t>метастатическим раком предстательной железы высокого риска</w:t>
      </w:r>
      <w:r w:rsidRPr="00E22DDB">
        <w:rPr>
          <w:rFonts w:ascii="Times New Roman" w:eastAsia="TimesNewRoman" w:hAnsi="Times New Roman" w:cs="Times New Roman"/>
          <w:b/>
          <w:bCs/>
          <w:i/>
          <w:sz w:val="24"/>
          <w:szCs w:val="24"/>
          <w:lang w:eastAsia="ru-RU"/>
        </w:rPr>
        <w:t>)</w:t>
      </w:r>
    </w:p>
    <w:p w14:paraId="202743FE"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lastRenderedPageBreak/>
        <w:t>В исследовании 3011, (</w:t>
      </w:r>
      <w:r w:rsidRPr="00E22DDB">
        <w:rPr>
          <w:rFonts w:ascii="Times New Roman" w:eastAsia="TimesNewRoman" w:hAnsi="Times New Roman" w:cs="Times New Roman"/>
          <w:sz w:val="24"/>
          <w:szCs w:val="24"/>
          <w:lang w:val="en-US" w:eastAsia="ru-RU"/>
        </w:rPr>
        <w:t>n</w:t>
      </w:r>
      <w:r w:rsidRPr="00E22DDB">
        <w:rPr>
          <w:rFonts w:ascii="Times New Roman" w:eastAsia="TimesNewRoman" w:hAnsi="Times New Roman" w:cs="Times New Roman"/>
          <w:sz w:val="24"/>
          <w:szCs w:val="24"/>
          <w:lang w:eastAsia="ru-RU"/>
        </w:rPr>
        <w:t xml:space="preserve"> = 1199) средний возраст включенных в исследование пациентов составлял 67 лет. Количество пациентов, принимавших </w:t>
      </w:r>
      <w:r w:rsidR="00714245" w:rsidRPr="00E22DDB">
        <w:rPr>
          <w:rFonts w:ascii="Times New Roman" w:eastAsia="TimesNewRoman" w:hAnsi="Times New Roman" w:cs="Times New Roman"/>
          <w:sz w:val="24"/>
          <w:szCs w:val="24"/>
          <w:lang w:eastAsia="ru-RU"/>
        </w:rPr>
        <w:t>абиратерон</w:t>
      </w:r>
      <w:r w:rsidRPr="00E22DDB">
        <w:rPr>
          <w:rFonts w:ascii="Times New Roman" w:eastAsia="TimesNewRoman" w:hAnsi="Times New Roman" w:cs="Times New Roman"/>
          <w:sz w:val="24"/>
          <w:szCs w:val="24"/>
          <w:lang w:eastAsia="ru-RU"/>
        </w:rPr>
        <w:t xml:space="preserve">, по расовой принадлежности составило: европеоидной расы 832 (69.4%), азиаты 246 (20.5%), черные или Афроамериканцы 25 (2.1%), остальные 80 (6.7%), неизвестные/не сообщили 13 (1.1%) и Американские индейцы или родом с Аляски 3 (0.3%). Показатель эффективности </w:t>
      </w:r>
      <w:r w:rsidRPr="00E22DDB">
        <w:rPr>
          <w:rFonts w:ascii="Times New Roman" w:eastAsia="TimesNewRoman" w:hAnsi="Times New Roman" w:cs="Times New Roman"/>
          <w:sz w:val="24"/>
          <w:szCs w:val="24"/>
          <w:lang w:val="en-US" w:eastAsia="ru-RU"/>
        </w:rPr>
        <w:t>ECOG</w:t>
      </w:r>
      <w:r w:rsidRPr="00E22DDB">
        <w:rPr>
          <w:rFonts w:ascii="Times New Roman" w:eastAsia="TimesNewRoman" w:hAnsi="Times New Roman" w:cs="Times New Roman"/>
          <w:sz w:val="24"/>
          <w:szCs w:val="24"/>
          <w:lang w:eastAsia="ru-RU"/>
        </w:rPr>
        <w:t xml:space="preserve"> составлял 0 или 1 для 97% пациентов. Пациенты с известными метастазами в головном мозге, неконтролируемой гипертонией, серьезным заболеванием сердца или сердечной недостаточностью </w:t>
      </w:r>
      <w:r w:rsidRPr="00E22DDB">
        <w:rPr>
          <w:rFonts w:ascii="Times New Roman" w:eastAsia="TimesNewRoman" w:hAnsi="Times New Roman" w:cs="Times New Roman"/>
          <w:sz w:val="24"/>
          <w:szCs w:val="24"/>
          <w:lang w:val="en-US" w:eastAsia="ru-RU"/>
        </w:rPr>
        <w:t>NYHA</w:t>
      </w:r>
      <w:r w:rsidRPr="00E22DDB">
        <w:rPr>
          <w:rFonts w:ascii="Times New Roman" w:eastAsia="TimesNewRoman" w:hAnsi="Times New Roman" w:cs="Times New Roman"/>
          <w:sz w:val="24"/>
          <w:szCs w:val="24"/>
          <w:lang w:eastAsia="ru-RU"/>
        </w:rPr>
        <w:t xml:space="preserve"> класса </w:t>
      </w:r>
      <w:r w:rsidRPr="00E22DDB">
        <w:rPr>
          <w:rFonts w:ascii="Times New Roman" w:eastAsia="TimesNewRoman" w:hAnsi="Times New Roman" w:cs="Times New Roman"/>
          <w:sz w:val="24"/>
          <w:szCs w:val="24"/>
          <w:lang w:val="en-US" w:eastAsia="ru-RU"/>
        </w:rPr>
        <w:t>II</w:t>
      </w:r>
      <w:r w:rsidRPr="00E22DDB">
        <w:rPr>
          <w:rFonts w:ascii="Times New Roman" w:eastAsia="TimesNewRoman" w:hAnsi="Times New Roman" w:cs="Times New Roman"/>
          <w:sz w:val="24"/>
          <w:szCs w:val="24"/>
          <w:lang w:eastAsia="ru-RU"/>
        </w:rPr>
        <w:t>-</w:t>
      </w:r>
      <w:r w:rsidRPr="00E22DDB">
        <w:rPr>
          <w:rFonts w:ascii="Times New Roman" w:eastAsia="TimesNewRoman" w:hAnsi="Times New Roman" w:cs="Times New Roman"/>
          <w:sz w:val="24"/>
          <w:szCs w:val="24"/>
          <w:lang w:val="en-US" w:eastAsia="ru-RU"/>
        </w:rPr>
        <w:t>IV</w:t>
      </w:r>
      <w:r w:rsidRPr="00E22DDB">
        <w:rPr>
          <w:rFonts w:ascii="Times New Roman" w:eastAsia="TimesNewRoman" w:hAnsi="Times New Roman" w:cs="Times New Roman"/>
          <w:sz w:val="24"/>
          <w:szCs w:val="24"/>
          <w:lang w:eastAsia="ru-RU"/>
        </w:rPr>
        <w:t xml:space="preserve"> были исключены. Пациенты, которые получили предшествующее медикаментозное лечение, лучевую терапию или операцией по поводу метастатического рака предстательной железы были исключены, за исключением пациентов, получавших АДТ до 3 месяцев или 1 курс паллиативного облучения или хирургической терапии для лечения симптомов, являющихся следствием метастазов.</w:t>
      </w:r>
    </w:p>
    <w:p w14:paraId="1D683BCC" w14:textId="10FBBAEA"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Основными показателями эффективности были общая выживаемость (ОС) и радиографическая выживаемость без прогрессирования заболевания (</w:t>
      </w:r>
      <w:r w:rsidRPr="00E22DDB">
        <w:rPr>
          <w:rFonts w:ascii="Times New Roman" w:eastAsia="TimesNewRoman" w:hAnsi="Times New Roman" w:cs="Times New Roman"/>
          <w:sz w:val="24"/>
          <w:szCs w:val="24"/>
          <w:lang w:val="en-US" w:eastAsia="ru-RU"/>
        </w:rPr>
        <w:t>rPFS</w:t>
      </w:r>
      <w:r w:rsidRPr="00E22DDB">
        <w:rPr>
          <w:rFonts w:ascii="Times New Roman" w:eastAsia="TimesNewRoman" w:hAnsi="Times New Roman" w:cs="Times New Roman"/>
          <w:sz w:val="24"/>
          <w:szCs w:val="24"/>
          <w:lang w:eastAsia="ru-RU"/>
        </w:rPr>
        <w:t>). Средний базовый показатель боли, измеренный Кратким учетом боли - Краткая форма (</w:t>
      </w:r>
      <w:r w:rsidRPr="00E22DDB">
        <w:rPr>
          <w:rFonts w:ascii="Times New Roman" w:eastAsia="TimesNewRoman" w:hAnsi="Times New Roman" w:cs="Times New Roman"/>
          <w:sz w:val="24"/>
          <w:szCs w:val="24"/>
          <w:lang w:val="en-US" w:eastAsia="ru-RU"/>
        </w:rPr>
        <w:t>BPI</w:t>
      </w:r>
      <w:r w:rsidRPr="00E22DDB">
        <w:rPr>
          <w:rFonts w:ascii="Times New Roman" w:eastAsia="TimesNewRoman" w:hAnsi="Times New Roman" w:cs="Times New Roman"/>
          <w:sz w:val="24"/>
          <w:szCs w:val="24"/>
          <w:lang w:eastAsia="ru-RU"/>
        </w:rPr>
        <w:t>-</w:t>
      </w:r>
      <w:r w:rsidRPr="00E22DDB">
        <w:rPr>
          <w:rFonts w:ascii="Times New Roman" w:eastAsia="TimesNewRoman" w:hAnsi="Times New Roman" w:cs="Times New Roman"/>
          <w:sz w:val="24"/>
          <w:szCs w:val="24"/>
          <w:lang w:val="en-US" w:eastAsia="ru-RU"/>
        </w:rPr>
        <w:t>SF</w:t>
      </w:r>
      <w:r w:rsidRPr="00E22DDB">
        <w:rPr>
          <w:rFonts w:ascii="Times New Roman" w:eastAsia="TimesNewRoman" w:hAnsi="Times New Roman" w:cs="Times New Roman"/>
          <w:sz w:val="24"/>
          <w:szCs w:val="24"/>
          <w:lang w:eastAsia="ru-RU"/>
        </w:rPr>
        <w:t>) составлял 2.0 в группах лечения и группе плацебо. В добавок к первичному измерению конечной точки, преимущество также оценивалась с использованием времени до события, связанного со скелетом (</w:t>
      </w:r>
      <w:r w:rsidRPr="00E22DDB">
        <w:rPr>
          <w:rFonts w:ascii="Times New Roman" w:eastAsia="TimesNewRoman" w:hAnsi="Times New Roman" w:cs="Times New Roman"/>
          <w:sz w:val="24"/>
          <w:szCs w:val="24"/>
          <w:lang w:val="en-US" w:eastAsia="ru-RU"/>
        </w:rPr>
        <w:t>SRE</w:t>
      </w:r>
      <w:r w:rsidRPr="00E22DDB">
        <w:rPr>
          <w:rFonts w:ascii="Times New Roman" w:eastAsia="TimesNewRoman" w:hAnsi="Times New Roman" w:cs="Times New Roman"/>
          <w:sz w:val="24"/>
          <w:szCs w:val="24"/>
          <w:lang w:eastAsia="ru-RU"/>
        </w:rPr>
        <w:t xml:space="preserve">), времени для последующей терапии рака предстательной железы, времени для начала химиотерапии, времени для прогрессирования боли и времени до прогрессирования </w:t>
      </w:r>
      <w:r w:rsidRPr="00E22DDB">
        <w:rPr>
          <w:rFonts w:ascii="Times New Roman" w:eastAsia="TimesNewRoman" w:hAnsi="Times New Roman" w:cs="Times New Roman"/>
          <w:sz w:val="24"/>
          <w:szCs w:val="24"/>
          <w:lang w:val="en-US" w:eastAsia="ru-RU"/>
        </w:rPr>
        <w:t>PSA</w:t>
      </w:r>
      <w:r w:rsidRPr="00E22DDB">
        <w:rPr>
          <w:rFonts w:ascii="Times New Roman" w:eastAsia="TimesNewRoman" w:hAnsi="Times New Roman" w:cs="Times New Roman"/>
          <w:sz w:val="24"/>
          <w:szCs w:val="24"/>
          <w:lang w:eastAsia="ru-RU"/>
        </w:rPr>
        <w:t>. Лечение продолжалось до прогрессирования заболевания, отмены согласия, возникновение недопустимой токсичности или до смерти</w:t>
      </w:r>
      <w:r w:rsidR="00CF2FE5" w:rsidRPr="00E22DDB">
        <w:rPr>
          <w:rFonts w:ascii="Times New Roman" w:eastAsia="TimesNewRoman" w:hAnsi="Times New Roman" w:cs="Times New Roman"/>
          <w:sz w:val="24"/>
          <w:szCs w:val="24"/>
          <w:lang w:eastAsia="ru-RU"/>
        </w:rPr>
        <w:t>.</w:t>
      </w:r>
    </w:p>
    <w:p w14:paraId="42CAB064"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Радиографическая выживаемость без прогрессирования определялась как время от рандомизации до появления радиографической прогрессии или смерти независимо от причины. Радиографическая прогрессия включала прогрессию с помощью сканирования костей (в соответствии с модифицированным </w:t>
      </w:r>
      <w:r w:rsidRPr="00E22DDB">
        <w:rPr>
          <w:rFonts w:ascii="Times New Roman" w:eastAsia="TimesNewRoman" w:hAnsi="Times New Roman" w:cs="Times New Roman"/>
          <w:sz w:val="24"/>
          <w:szCs w:val="24"/>
          <w:lang w:val="en-US" w:eastAsia="ru-RU"/>
        </w:rPr>
        <w:t>PCWG</w:t>
      </w:r>
      <w:r w:rsidRPr="00E22DDB">
        <w:rPr>
          <w:rFonts w:ascii="Times New Roman" w:eastAsia="TimesNewRoman" w:hAnsi="Times New Roman" w:cs="Times New Roman"/>
          <w:sz w:val="24"/>
          <w:szCs w:val="24"/>
          <w:lang w:eastAsia="ru-RU"/>
        </w:rPr>
        <w:t xml:space="preserve">2) или прогрессию поражений мягких тканей, определяемую на КТ или МРТ (в соответствии с </w:t>
      </w:r>
      <w:r w:rsidRPr="00E22DDB">
        <w:rPr>
          <w:rFonts w:ascii="Times New Roman" w:eastAsia="TimesNewRoman" w:hAnsi="Times New Roman" w:cs="Times New Roman"/>
          <w:sz w:val="24"/>
          <w:szCs w:val="24"/>
          <w:lang w:val="en-US" w:eastAsia="ru-RU"/>
        </w:rPr>
        <w:t>RECIST</w:t>
      </w:r>
      <w:r w:rsidRPr="00E22DDB">
        <w:rPr>
          <w:rFonts w:ascii="Times New Roman" w:eastAsia="TimesNewRoman" w:hAnsi="Times New Roman" w:cs="Times New Roman"/>
          <w:sz w:val="24"/>
          <w:szCs w:val="24"/>
          <w:lang w:eastAsia="ru-RU"/>
        </w:rPr>
        <w:t xml:space="preserve"> 1.1).</w:t>
      </w:r>
    </w:p>
    <w:p w14:paraId="74DDB767" w14:textId="03ADB615"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Наблюдалась значительная разница в </w:t>
      </w:r>
      <w:r w:rsidRPr="00E22DDB">
        <w:rPr>
          <w:rFonts w:ascii="Times New Roman" w:eastAsia="TimesNewRoman" w:hAnsi="Times New Roman" w:cs="Times New Roman"/>
          <w:sz w:val="24"/>
          <w:szCs w:val="24"/>
          <w:lang w:val="en-US" w:eastAsia="ru-RU"/>
        </w:rPr>
        <w:t>rPFS</w:t>
      </w:r>
      <w:r w:rsidRPr="00E22DDB">
        <w:rPr>
          <w:rFonts w:ascii="Times New Roman" w:eastAsia="TimesNewRoman" w:hAnsi="Times New Roman" w:cs="Times New Roman"/>
          <w:sz w:val="24"/>
          <w:szCs w:val="24"/>
          <w:lang w:eastAsia="ru-RU"/>
        </w:rPr>
        <w:t xml:space="preserve"> между группами лечения (см. Таблицу </w:t>
      </w:r>
      <w:r w:rsidR="009418E3" w:rsidRPr="00E22DDB">
        <w:rPr>
          <w:rFonts w:ascii="Times New Roman" w:eastAsia="TimesNewRoman" w:hAnsi="Times New Roman" w:cs="Times New Roman"/>
          <w:sz w:val="24"/>
          <w:szCs w:val="24"/>
          <w:lang w:eastAsia="ru-RU"/>
        </w:rPr>
        <w:t>2</w:t>
      </w:r>
      <w:r w:rsidRPr="00E22DDB">
        <w:rPr>
          <w:rFonts w:ascii="Times New Roman" w:eastAsia="TimesNewRoman" w:hAnsi="Times New Roman" w:cs="Times New Roman"/>
          <w:sz w:val="24"/>
          <w:szCs w:val="24"/>
          <w:lang w:eastAsia="ru-RU"/>
        </w:rPr>
        <w:t xml:space="preserve"> и рисунок 1).</w:t>
      </w:r>
    </w:p>
    <w:p w14:paraId="78D1EAC4"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p>
    <w:p w14:paraId="28286740" w14:textId="3740319E"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 xml:space="preserve">Таблица </w:t>
      </w:r>
      <w:r w:rsidR="009418E3" w:rsidRPr="00E22DDB">
        <w:rPr>
          <w:rFonts w:ascii="Times New Roman" w:eastAsia="TimesNewRoman" w:hAnsi="Times New Roman" w:cs="Times New Roman"/>
          <w:b/>
          <w:sz w:val="24"/>
          <w:szCs w:val="24"/>
          <w:lang w:eastAsia="ru-RU"/>
        </w:rPr>
        <w:t>2</w:t>
      </w:r>
      <w:r w:rsidRPr="00E22DDB">
        <w:rPr>
          <w:rFonts w:ascii="Times New Roman" w:eastAsia="TimesNewRoman" w:hAnsi="Times New Roman" w:cs="Times New Roman"/>
          <w:b/>
          <w:sz w:val="24"/>
          <w:szCs w:val="24"/>
          <w:lang w:eastAsia="ru-RU"/>
        </w:rPr>
        <w:t>:</w:t>
      </w:r>
      <w:r w:rsidRPr="00E22DDB">
        <w:rPr>
          <w:rFonts w:ascii="Times New Roman" w:eastAsia="TimesNewRoman" w:hAnsi="Times New Roman" w:cs="Times New Roman"/>
          <w:b/>
          <w:sz w:val="24"/>
          <w:szCs w:val="24"/>
          <w:lang w:eastAsia="ru-RU"/>
        </w:rPr>
        <w:tab/>
        <w:t xml:space="preserve">Выживаемость без радиографической прогрессии – Стратифицированный анализ; </w:t>
      </w:r>
      <w:r w:rsidRPr="00E22DDB">
        <w:rPr>
          <w:rFonts w:ascii="Times New Roman" w:eastAsia="TimesNewRoman" w:hAnsi="Times New Roman" w:cs="Times New Roman"/>
          <w:b/>
          <w:sz w:val="24"/>
          <w:szCs w:val="24"/>
          <w:lang w:val="en-US" w:eastAsia="ru-RU"/>
        </w:rPr>
        <w:t>ITT</w:t>
      </w:r>
      <w:r w:rsidRPr="00E22DDB">
        <w:rPr>
          <w:rFonts w:ascii="Times New Roman" w:eastAsia="TimesNewRoman" w:hAnsi="Times New Roman" w:cs="Times New Roman"/>
          <w:b/>
          <w:sz w:val="24"/>
          <w:szCs w:val="24"/>
          <w:lang w:eastAsia="ru-RU"/>
        </w:rPr>
        <w:t xml:space="preserve">-популяция (исследование </w:t>
      </w:r>
      <w:r w:rsidRPr="00E22DDB">
        <w:rPr>
          <w:rFonts w:ascii="Times New Roman" w:eastAsia="TimesNewRoman" w:hAnsi="Times New Roman" w:cs="Times New Roman"/>
          <w:b/>
          <w:sz w:val="24"/>
          <w:szCs w:val="24"/>
          <w:lang w:val="en-US" w:eastAsia="ru-RU"/>
        </w:rPr>
        <w:t>PCR</w:t>
      </w:r>
      <w:r w:rsidRPr="00E22DDB">
        <w:rPr>
          <w:rFonts w:ascii="Times New Roman" w:eastAsia="TimesNewRoman" w:hAnsi="Times New Roman" w:cs="Times New Roman"/>
          <w:b/>
          <w:sz w:val="24"/>
          <w:szCs w:val="24"/>
          <w:lang w:eastAsia="ru-RU"/>
        </w:rPr>
        <w:t>3011)</w:t>
      </w:r>
    </w:p>
    <w:tbl>
      <w:tblPr>
        <w:tblW w:w="8931" w:type="dxa"/>
        <w:tblLayout w:type="fixed"/>
        <w:tblCellMar>
          <w:left w:w="0" w:type="dxa"/>
          <w:right w:w="0" w:type="dxa"/>
        </w:tblCellMar>
        <w:tblLook w:val="01E0" w:firstRow="1" w:lastRow="1" w:firstColumn="1" w:lastColumn="1" w:noHBand="0" w:noVBand="0"/>
      </w:tblPr>
      <w:tblGrid>
        <w:gridCol w:w="3969"/>
        <w:gridCol w:w="2410"/>
        <w:gridCol w:w="2552"/>
      </w:tblGrid>
      <w:tr w:rsidR="009901E9" w:rsidRPr="00E22DDB" w14:paraId="5477034C" w14:textId="77777777" w:rsidTr="00714245">
        <w:trPr>
          <w:trHeight w:val="252"/>
        </w:trPr>
        <w:tc>
          <w:tcPr>
            <w:tcW w:w="3969" w:type="dxa"/>
            <w:tcBorders>
              <w:top w:val="single" w:sz="4" w:space="0" w:color="000000"/>
              <w:left w:val="nil"/>
              <w:bottom w:val="single" w:sz="4" w:space="0" w:color="auto"/>
              <w:right w:val="nil"/>
            </w:tcBorders>
          </w:tcPr>
          <w:p w14:paraId="310DDA71"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p>
          <w:p w14:paraId="7B81F2DF"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p>
        </w:tc>
        <w:tc>
          <w:tcPr>
            <w:tcW w:w="2410" w:type="dxa"/>
            <w:tcBorders>
              <w:top w:val="single" w:sz="4" w:space="0" w:color="000000"/>
              <w:left w:val="nil"/>
              <w:bottom w:val="single" w:sz="4" w:space="0" w:color="auto"/>
              <w:right w:val="nil"/>
            </w:tcBorders>
            <w:hideMark/>
          </w:tcPr>
          <w:p w14:paraId="434F3C57"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val="en-US" w:eastAsia="ru-RU"/>
              </w:rPr>
              <w:t>AA-P</w:t>
            </w:r>
          </w:p>
          <w:p w14:paraId="51CA9BAA"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c>
          <w:tcPr>
            <w:tcW w:w="2552" w:type="dxa"/>
            <w:tcBorders>
              <w:top w:val="single" w:sz="4" w:space="0" w:color="000000"/>
              <w:left w:val="nil"/>
              <w:bottom w:val="single" w:sz="4" w:space="0" w:color="auto"/>
              <w:right w:val="nil"/>
            </w:tcBorders>
            <w:hideMark/>
          </w:tcPr>
          <w:p w14:paraId="64C29C3A"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Плацебо</w:t>
            </w:r>
          </w:p>
          <w:p w14:paraId="18F04440"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r>
      <w:tr w:rsidR="009901E9" w:rsidRPr="00E22DDB" w14:paraId="2E902BE0" w14:textId="77777777" w:rsidTr="00714245">
        <w:trPr>
          <w:trHeight w:val="564"/>
        </w:trPr>
        <w:tc>
          <w:tcPr>
            <w:tcW w:w="3969" w:type="dxa"/>
            <w:tcBorders>
              <w:top w:val="single" w:sz="4" w:space="0" w:color="auto"/>
              <w:left w:val="nil"/>
              <w:bottom w:val="nil"/>
              <w:right w:val="nil"/>
            </w:tcBorders>
          </w:tcPr>
          <w:p w14:paraId="74C64F5A"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E22DDB">
              <w:rPr>
                <w:rFonts w:ascii="Times New Roman" w:eastAsia="TimesNewRoman" w:hAnsi="Times New Roman" w:cs="Times New Roman"/>
                <w:sz w:val="24"/>
                <w:szCs w:val="24"/>
                <w:lang w:eastAsia="ru-RU"/>
              </w:rPr>
              <w:t>К-во рандомизированных пациентов</w:t>
            </w:r>
          </w:p>
        </w:tc>
        <w:tc>
          <w:tcPr>
            <w:tcW w:w="2410" w:type="dxa"/>
            <w:tcBorders>
              <w:top w:val="single" w:sz="4" w:space="0" w:color="auto"/>
              <w:left w:val="nil"/>
              <w:bottom w:val="nil"/>
              <w:right w:val="nil"/>
            </w:tcBorders>
          </w:tcPr>
          <w:p w14:paraId="76DF1A3E"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val="en-US" w:eastAsia="ru-RU"/>
              </w:rPr>
              <w:t>597</w:t>
            </w:r>
          </w:p>
        </w:tc>
        <w:tc>
          <w:tcPr>
            <w:tcW w:w="2552" w:type="dxa"/>
            <w:tcBorders>
              <w:top w:val="single" w:sz="4" w:space="0" w:color="auto"/>
              <w:left w:val="nil"/>
              <w:bottom w:val="nil"/>
              <w:right w:val="nil"/>
            </w:tcBorders>
          </w:tcPr>
          <w:p w14:paraId="67FEA1C0"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val="en-US" w:eastAsia="ru-RU"/>
              </w:rPr>
              <w:t>602</w:t>
            </w:r>
          </w:p>
        </w:tc>
      </w:tr>
      <w:tr w:rsidR="009901E9" w:rsidRPr="00E22DDB" w14:paraId="6E0AE632" w14:textId="77777777" w:rsidTr="00714245">
        <w:trPr>
          <w:trHeight w:val="258"/>
        </w:trPr>
        <w:tc>
          <w:tcPr>
            <w:tcW w:w="3969" w:type="dxa"/>
            <w:hideMark/>
          </w:tcPr>
          <w:p w14:paraId="6BF00424"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eastAsia="ru-RU"/>
              </w:rPr>
              <w:t>Событие</w:t>
            </w:r>
          </w:p>
        </w:tc>
        <w:tc>
          <w:tcPr>
            <w:tcW w:w="2410" w:type="dxa"/>
            <w:hideMark/>
          </w:tcPr>
          <w:p w14:paraId="71DBDC20"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val="en-US" w:eastAsia="ru-RU"/>
              </w:rPr>
              <w:t>239 (40.0%)</w:t>
            </w:r>
          </w:p>
        </w:tc>
        <w:tc>
          <w:tcPr>
            <w:tcW w:w="2552" w:type="dxa"/>
            <w:hideMark/>
          </w:tcPr>
          <w:p w14:paraId="1A98ABFE"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val="en-US" w:eastAsia="ru-RU"/>
              </w:rPr>
              <w:t>354 (58.8%)</w:t>
            </w:r>
          </w:p>
        </w:tc>
      </w:tr>
      <w:tr w:rsidR="009901E9" w:rsidRPr="00E22DDB" w14:paraId="4159606C" w14:textId="77777777" w:rsidTr="00714245">
        <w:trPr>
          <w:trHeight w:val="386"/>
        </w:trPr>
        <w:tc>
          <w:tcPr>
            <w:tcW w:w="3969" w:type="dxa"/>
            <w:hideMark/>
          </w:tcPr>
          <w:p w14:paraId="332DEB79"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Цензурированный показатель</w:t>
            </w:r>
          </w:p>
        </w:tc>
        <w:tc>
          <w:tcPr>
            <w:tcW w:w="2410" w:type="dxa"/>
            <w:hideMark/>
          </w:tcPr>
          <w:p w14:paraId="03AF5C99"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val="en-US" w:eastAsia="ru-RU"/>
              </w:rPr>
              <w:t>358 (60.0%)</w:t>
            </w:r>
          </w:p>
        </w:tc>
        <w:tc>
          <w:tcPr>
            <w:tcW w:w="2552" w:type="dxa"/>
            <w:hideMark/>
          </w:tcPr>
          <w:p w14:paraId="798012AD"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val="en-US" w:eastAsia="ru-RU"/>
              </w:rPr>
              <w:t>248 (41.2%)</w:t>
            </w:r>
          </w:p>
        </w:tc>
      </w:tr>
      <w:tr w:rsidR="009901E9" w:rsidRPr="00E22DDB" w14:paraId="4AF2FA14" w14:textId="77777777" w:rsidTr="00714245">
        <w:trPr>
          <w:trHeight w:val="386"/>
        </w:trPr>
        <w:tc>
          <w:tcPr>
            <w:tcW w:w="3969" w:type="dxa"/>
            <w:hideMark/>
          </w:tcPr>
          <w:p w14:paraId="1CD4E687"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eastAsia="ru-RU"/>
              </w:rPr>
              <w:t>Время до события</w:t>
            </w:r>
            <w:r w:rsidRPr="00E22DDB">
              <w:rPr>
                <w:rFonts w:ascii="Times New Roman" w:eastAsia="TimesNewRoman" w:hAnsi="Times New Roman" w:cs="Times New Roman"/>
                <w:sz w:val="24"/>
                <w:szCs w:val="24"/>
                <w:lang w:val="en-US" w:eastAsia="ru-RU"/>
              </w:rPr>
              <w:t xml:space="preserve"> (</w:t>
            </w:r>
            <w:r w:rsidRPr="00E22DDB">
              <w:rPr>
                <w:rFonts w:ascii="Times New Roman" w:eastAsia="TimesNewRoman" w:hAnsi="Times New Roman" w:cs="Times New Roman"/>
                <w:sz w:val="24"/>
                <w:szCs w:val="24"/>
                <w:lang w:eastAsia="ru-RU"/>
              </w:rPr>
              <w:t>месяцы</w:t>
            </w:r>
            <w:r w:rsidRPr="00E22DDB">
              <w:rPr>
                <w:rFonts w:ascii="Times New Roman" w:eastAsia="TimesNewRoman" w:hAnsi="Times New Roman" w:cs="Times New Roman"/>
                <w:sz w:val="24"/>
                <w:szCs w:val="24"/>
                <w:lang w:val="en-US" w:eastAsia="ru-RU"/>
              </w:rPr>
              <w:t>)</w:t>
            </w:r>
          </w:p>
        </w:tc>
        <w:tc>
          <w:tcPr>
            <w:tcW w:w="2410" w:type="dxa"/>
          </w:tcPr>
          <w:p w14:paraId="2E9C93F9"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c>
          <w:tcPr>
            <w:tcW w:w="2552" w:type="dxa"/>
          </w:tcPr>
          <w:p w14:paraId="47E58382"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r>
      <w:tr w:rsidR="009901E9" w:rsidRPr="00E22DDB" w14:paraId="07BF3195" w14:textId="77777777" w:rsidTr="00714245">
        <w:trPr>
          <w:trHeight w:val="258"/>
        </w:trPr>
        <w:tc>
          <w:tcPr>
            <w:tcW w:w="3969" w:type="dxa"/>
            <w:hideMark/>
          </w:tcPr>
          <w:p w14:paraId="6670A1A9"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eastAsia="ru-RU"/>
              </w:rPr>
              <w:t>Среднее</w:t>
            </w:r>
            <w:r w:rsidRPr="00E22DDB">
              <w:rPr>
                <w:rFonts w:ascii="Times New Roman" w:eastAsia="TimesNewRoman" w:hAnsi="Times New Roman" w:cs="Times New Roman"/>
                <w:sz w:val="24"/>
                <w:szCs w:val="24"/>
                <w:lang w:val="en-US" w:eastAsia="ru-RU"/>
              </w:rPr>
              <w:t xml:space="preserve"> (95% CI)</w:t>
            </w:r>
          </w:p>
        </w:tc>
        <w:tc>
          <w:tcPr>
            <w:tcW w:w="2410" w:type="dxa"/>
            <w:hideMark/>
          </w:tcPr>
          <w:p w14:paraId="09F6CCC7"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val="en-US" w:eastAsia="ru-RU"/>
              </w:rPr>
              <w:t>33.02 (29.57, NE)</w:t>
            </w:r>
          </w:p>
        </w:tc>
        <w:tc>
          <w:tcPr>
            <w:tcW w:w="2552" w:type="dxa"/>
            <w:hideMark/>
          </w:tcPr>
          <w:p w14:paraId="5C1AB5D9"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val="en-US" w:eastAsia="ru-RU"/>
              </w:rPr>
              <w:t>14.78 (14.69, 18.27)</w:t>
            </w:r>
          </w:p>
        </w:tc>
      </w:tr>
      <w:tr w:rsidR="009901E9" w:rsidRPr="00E22DDB" w14:paraId="74C46F62" w14:textId="77777777" w:rsidTr="00714245">
        <w:trPr>
          <w:trHeight w:val="371"/>
        </w:trPr>
        <w:tc>
          <w:tcPr>
            <w:tcW w:w="3969" w:type="dxa"/>
            <w:hideMark/>
          </w:tcPr>
          <w:p w14:paraId="4CDDDC3F"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Диапазон</w:t>
            </w:r>
          </w:p>
        </w:tc>
        <w:tc>
          <w:tcPr>
            <w:tcW w:w="2410" w:type="dxa"/>
            <w:hideMark/>
          </w:tcPr>
          <w:p w14:paraId="765742C9"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val="en-US" w:eastAsia="ru-RU"/>
              </w:rPr>
              <w:t>(0.0+, 41.0+)</w:t>
            </w:r>
          </w:p>
        </w:tc>
        <w:tc>
          <w:tcPr>
            <w:tcW w:w="2552" w:type="dxa"/>
            <w:hideMark/>
          </w:tcPr>
          <w:p w14:paraId="0CAA1A6D"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val="en-US" w:eastAsia="ru-RU"/>
              </w:rPr>
              <w:t>(0.0+, 40.6+)</w:t>
            </w:r>
          </w:p>
        </w:tc>
      </w:tr>
      <w:tr w:rsidR="009901E9" w:rsidRPr="00E22DDB" w14:paraId="5880F39D" w14:textId="77777777" w:rsidTr="00714245">
        <w:trPr>
          <w:trHeight w:val="657"/>
        </w:trPr>
        <w:tc>
          <w:tcPr>
            <w:tcW w:w="3969" w:type="dxa"/>
            <w:tcBorders>
              <w:top w:val="nil"/>
              <w:left w:val="nil"/>
              <w:bottom w:val="single" w:sz="4" w:space="0" w:color="000000"/>
              <w:right w:val="nil"/>
            </w:tcBorders>
            <w:hideMark/>
          </w:tcPr>
          <w:p w14:paraId="2EF1EDC0"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vertAlign w:val="superscript"/>
                <w:lang w:eastAsia="ru-RU"/>
              </w:rPr>
            </w:pPr>
            <w:r w:rsidRPr="00E22DDB">
              <w:rPr>
                <w:rFonts w:ascii="Times New Roman" w:eastAsia="TimesNewRoman" w:hAnsi="Times New Roman" w:cs="Times New Roman"/>
                <w:sz w:val="24"/>
                <w:szCs w:val="24"/>
                <w:lang w:eastAsia="ru-RU"/>
              </w:rPr>
              <w:t>р-значение</w:t>
            </w:r>
            <w:r w:rsidRPr="00E22DDB">
              <w:rPr>
                <w:rFonts w:ascii="Times New Roman" w:eastAsia="TimesNewRoman" w:hAnsi="Times New Roman" w:cs="Times New Roman"/>
                <w:sz w:val="24"/>
                <w:szCs w:val="24"/>
                <w:vertAlign w:val="superscript"/>
                <w:lang w:eastAsia="ru-RU"/>
              </w:rPr>
              <w:t>а</w:t>
            </w:r>
          </w:p>
          <w:p w14:paraId="123AAF00"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Отношение рисков (95% </w:t>
            </w:r>
            <w:r w:rsidRPr="00E22DDB">
              <w:rPr>
                <w:rFonts w:ascii="Times New Roman" w:eastAsia="TimesNewRoman" w:hAnsi="Times New Roman" w:cs="Times New Roman"/>
                <w:sz w:val="24"/>
                <w:szCs w:val="24"/>
                <w:lang w:val="en-US" w:eastAsia="ru-RU"/>
              </w:rPr>
              <w:t>CI</w:t>
            </w:r>
            <w:r w:rsidRPr="00E22DDB">
              <w:rPr>
                <w:rFonts w:ascii="Times New Roman" w:eastAsia="TimesNewRoman" w:hAnsi="Times New Roman" w:cs="Times New Roman"/>
                <w:sz w:val="24"/>
                <w:szCs w:val="24"/>
                <w:lang w:eastAsia="ru-RU"/>
              </w:rPr>
              <w:t>)</w:t>
            </w:r>
            <w:r w:rsidRPr="00E22DDB">
              <w:rPr>
                <w:rFonts w:ascii="Times New Roman" w:eastAsia="TimesNewRoman" w:hAnsi="Times New Roman" w:cs="Times New Roman"/>
                <w:sz w:val="24"/>
                <w:szCs w:val="24"/>
                <w:vertAlign w:val="superscript"/>
                <w:lang w:val="en-US" w:eastAsia="ru-RU"/>
              </w:rPr>
              <w:t>b</w:t>
            </w:r>
          </w:p>
        </w:tc>
        <w:tc>
          <w:tcPr>
            <w:tcW w:w="2410" w:type="dxa"/>
            <w:tcBorders>
              <w:top w:val="nil"/>
              <w:left w:val="nil"/>
              <w:bottom w:val="single" w:sz="4" w:space="0" w:color="000000"/>
              <w:right w:val="nil"/>
            </w:tcBorders>
            <w:hideMark/>
          </w:tcPr>
          <w:p w14:paraId="70585B14"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val="en-US" w:eastAsia="ru-RU"/>
              </w:rPr>
              <w:t>&lt; 0.0001</w:t>
            </w:r>
          </w:p>
          <w:p w14:paraId="08AB046E"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val="en-US" w:eastAsia="ru-RU"/>
              </w:rPr>
              <w:t>0.466 (0.394, 0.550)</w:t>
            </w:r>
          </w:p>
        </w:tc>
        <w:tc>
          <w:tcPr>
            <w:tcW w:w="2552" w:type="dxa"/>
            <w:tcBorders>
              <w:top w:val="nil"/>
              <w:left w:val="nil"/>
              <w:bottom w:val="single" w:sz="4" w:space="0" w:color="000000"/>
              <w:right w:val="nil"/>
            </w:tcBorders>
          </w:tcPr>
          <w:p w14:paraId="23D5B4AC"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r>
    </w:tbl>
    <w:p w14:paraId="660EB2A9"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4"/>
          <w:szCs w:val="24"/>
          <w:lang w:eastAsia="ru-RU"/>
        </w:rPr>
        <w:t xml:space="preserve">Примечание: </w:t>
      </w:r>
      <w:r w:rsidRPr="00E22DDB">
        <w:rPr>
          <w:rFonts w:ascii="Times New Roman" w:eastAsia="TimesNewRoman" w:hAnsi="Times New Roman" w:cs="Times New Roman"/>
          <w:sz w:val="20"/>
          <w:szCs w:val="20"/>
          <w:lang w:eastAsia="ru-RU"/>
        </w:rPr>
        <w:t xml:space="preserve">+ = цензурированное наблюдение, </w:t>
      </w:r>
      <w:r w:rsidRPr="00E22DDB">
        <w:rPr>
          <w:rFonts w:ascii="Times New Roman" w:eastAsia="TimesNewRoman" w:hAnsi="Times New Roman" w:cs="Times New Roman"/>
          <w:sz w:val="20"/>
          <w:szCs w:val="20"/>
          <w:lang w:val="en-US" w:eastAsia="ru-RU"/>
        </w:rPr>
        <w:t>NE</w:t>
      </w:r>
      <w:r w:rsidRPr="00E22DDB">
        <w:rPr>
          <w:rFonts w:ascii="Times New Roman" w:eastAsia="TimesNewRoman" w:hAnsi="Times New Roman" w:cs="Times New Roman"/>
          <w:sz w:val="20"/>
          <w:szCs w:val="20"/>
          <w:lang w:eastAsia="ru-RU"/>
        </w:rPr>
        <w:t xml:space="preserve"> = не оценивается. Радиографическая прогрессия и смерть учитываются при определении события </w:t>
      </w:r>
      <w:r w:rsidRPr="00E22DDB">
        <w:rPr>
          <w:rFonts w:ascii="Times New Roman" w:eastAsia="TimesNewRoman" w:hAnsi="Times New Roman" w:cs="Times New Roman"/>
          <w:sz w:val="20"/>
          <w:szCs w:val="20"/>
          <w:lang w:val="en-US" w:eastAsia="ru-RU"/>
        </w:rPr>
        <w:t>rPFS</w:t>
      </w:r>
      <w:r w:rsidRPr="00E22DDB">
        <w:rPr>
          <w:rFonts w:ascii="Times New Roman" w:eastAsia="TimesNewRoman" w:hAnsi="Times New Roman" w:cs="Times New Roman"/>
          <w:sz w:val="20"/>
          <w:szCs w:val="20"/>
          <w:lang w:eastAsia="ru-RU"/>
        </w:rPr>
        <w:t xml:space="preserve">. </w:t>
      </w:r>
      <w:r w:rsidRPr="00E22DDB">
        <w:rPr>
          <w:rFonts w:ascii="Times New Roman" w:eastAsia="TimesNewRoman" w:hAnsi="Times New Roman" w:cs="Times New Roman"/>
          <w:sz w:val="20"/>
          <w:szCs w:val="20"/>
          <w:lang w:val="en-US" w:eastAsia="ru-RU"/>
        </w:rPr>
        <w:t>AA</w:t>
      </w:r>
      <w:r w:rsidRPr="00E22DDB">
        <w:rPr>
          <w:rFonts w:ascii="Times New Roman" w:eastAsia="TimesNewRoman" w:hAnsi="Times New Roman" w:cs="Times New Roman"/>
          <w:sz w:val="20"/>
          <w:szCs w:val="20"/>
          <w:lang w:eastAsia="ru-RU"/>
        </w:rPr>
        <w:t>-</w:t>
      </w:r>
      <w:r w:rsidRPr="00E22DDB">
        <w:rPr>
          <w:rFonts w:ascii="Times New Roman" w:eastAsia="TimesNewRoman" w:hAnsi="Times New Roman" w:cs="Times New Roman"/>
          <w:sz w:val="20"/>
          <w:szCs w:val="20"/>
          <w:lang w:val="en-US" w:eastAsia="ru-RU"/>
        </w:rPr>
        <w:t>P</w:t>
      </w:r>
      <w:r w:rsidRPr="00E22DDB">
        <w:rPr>
          <w:rFonts w:ascii="Times New Roman" w:eastAsia="TimesNewRoman" w:hAnsi="Times New Roman" w:cs="Times New Roman"/>
          <w:sz w:val="20"/>
          <w:szCs w:val="20"/>
          <w:lang w:eastAsia="ru-RU"/>
        </w:rPr>
        <w:t xml:space="preserve"> = пациенты, которые получали абиратерона ацетат и преднизон.</w:t>
      </w:r>
    </w:p>
    <w:p w14:paraId="5CE8FB6C"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 xml:space="preserve">(а) Значение </w:t>
      </w:r>
      <w:r w:rsidRPr="00E22DDB">
        <w:rPr>
          <w:rFonts w:ascii="Times New Roman" w:eastAsia="TimesNewRoman" w:hAnsi="Times New Roman" w:cs="Times New Roman"/>
          <w:sz w:val="20"/>
          <w:szCs w:val="20"/>
          <w:lang w:val="en-US" w:eastAsia="ru-RU"/>
        </w:rPr>
        <w:t>p</w:t>
      </w:r>
      <w:r w:rsidRPr="00E22DDB">
        <w:rPr>
          <w:rFonts w:ascii="Times New Roman" w:eastAsia="TimesNewRoman" w:hAnsi="Times New Roman" w:cs="Times New Roman"/>
          <w:sz w:val="20"/>
          <w:szCs w:val="20"/>
          <w:lang w:eastAsia="ru-RU"/>
        </w:rPr>
        <w:t xml:space="preserve"> взято из логарифмического теста, стратифицированного по шкале </w:t>
      </w:r>
      <w:r w:rsidRPr="00E22DDB">
        <w:rPr>
          <w:rFonts w:ascii="Times New Roman" w:eastAsia="TimesNewRoman" w:hAnsi="Times New Roman" w:cs="Times New Roman"/>
          <w:sz w:val="20"/>
          <w:szCs w:val="20"/>
          <w:lang w:val="en-US" w:eastAsia="ru-RU"/>
        </w:rPr>
        <w:t>PS</w:t>
      </w:r>
      <w:r w:rsidRPr="00E22DDB">
        <w:rPr>
          <w:rFonts w:ascii="Times New Roman" w:eastAsia="TimesNewRoman" w:hAnsi="Times New Roman" w:cs="Times New Roman"/>
          <w:sz w:val="20"/>
          <w:szCs w:val="20"/>
          <w:lang w:eastAsia="ru-RU"/>
        </w:rPr>
        <w:t xml:space="preserve"> </w:t>
      </w:r>
      <w:r w:rsidRPr="00E22DDB">
        <w:rPr>
          <w:rFonts w:ascii="Times New Roman" w:eastAsia="TimesNewRoman" w:hAnsi="Times New Roman" w:cs="Times New Roman"/>
          <w:sz w:val="20"/>
          <w:szCs w:val="20"/>
          <w:lang w:val="en-US" w:eastAsia="ru-RU"/>
        </w:rPr>
        <w:t>ECOG</w:t>
      </w:r>
      <w:r w:rsidRPr="00E22DDB">
        <w:rPr>
          <w:rFonts w:ascii="Times New Roman" w:eastAsia="TimesNewRoman" w:hAnsi="Times New Roman" w:cs="Times New Roman"/>
          <w:sz w:val="20"/>
          <w:szCs w:val="20"/>
          <w:lang w:eastAsia="ru-RU"/>
        </w:rPr>
        <w:t xml:space="preserve"> (0/1 или 2) и висцеральному повреждению (отсутствует или присутствует).</w:t>
      </w:r>
    </w:p>
    <w:p w14:paraId="71024C00"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w:t>
      </w:r>
      <w:r w:rsidRPr="00E22DDB">
        <w:rPr>
          <w:rFonts w:ascii="Times New Roman" w:eastAsia="TimesNewRoman" w:hAnsi="Times New Roman" w:cs="Times New Roman"/>
          <w:sz w:val="20"/>
          <w:szCs w:val="20"/>
          <w:lang w:val="en-US" w:eastAsia="ru-RU"/>
        </w:rPr>
        <w:t>b</w:t>
      </w:r>
      <w:r w:rsidRPr="00E22DDB">
        <w:rPr>
          <w:rFonts w:ascii="Times New Roman" w:eastAsia="TimesNewRoman" w:hAnsi="Times New Roman" w:cs="Times New Roman"/>
          <w:sz w:val="20"/>
          <w:szCs w:val="20"/>
          <w:lang w:eastAsia="ru-RU"/>
        </w:rPr>
        <w:t xml:space="preserve">) Коэффициент опасности взят из модели стратифицированной пропорциональной опасности. Отношение рисков &lt;1 </w:t>
      </w:r>
      <w:r w:rsidRPr="00E22DDB">
        <w:rPr>
          <w:rFonts w:ascii="Times New Roman" w:eastAsia="TimesNewRoman" w:hAnsi="Times New Roman" w:cs="Times New Roman"/>
          <w:sz w:val="20"/>
          <w:szCs w:val="20"/>
          <w:lang w:val="kk-KZ" w:eastAsia="ru-RU"/>
        </w:rPr>
        <w:t>подходит</w:t>
      </w:r>
      <w:r w:rsidRPr="00E22DDB">
        <w:rPr>
          <w:rFonts w:ascii="Times New Roman" w:eastAsia="TimesNewRoman" w:hAnsi="Times New Roman" w:cs="Times New Roman"/>
          <w:sz w:val="20"/>
          <w:szCs w:val="20"/>
          <w:lang w:eastAsia="ru-RU"/>
        </w:rPr>
        <w:t xml:space="preserve"> </w:t>
      </w:r>
      <w:r w:rsidRPr="00E22DDB">
        <w:rPr>
          <w:rFonts w:ascii="Times New Roman" w:eastAsia="TimesNewRoman" w:hAnsi="Times New Roman" w:cs="Times New Roman"/>
          <w:sz w:val="20"/>
          <w:szCs w:val="20"/>
          <w:lang w:val="en-US" w:eastAsia="ru-RU"/>
        </w:rPr>
        <w:t>AA</w:t>
      </w:r>
      <w:r w:rsidRPr="00E22DDB">
        <w:rPr>
          <w:rFonts w:ascii="Times New Roman" w:eastAsia="TimesNewRoman" w:hAnsi="Times New Roman" w:cs="Times New Roman"/>
          <w:sz w:val="20"/>
          <w:szCs w:val="20"/>
          <w:lang w:eastAsia="ru-RU"/>
        </w:rPr>
        <w:t>-</w:t>
      </w:r>
      <w:r w:rsidRPr="00E22DDB">
        <w:rPr>
          <w:rFonts w:ascii="Times New Roman" w:eastAsia="TimesNewRoman" w:hAnsi="Times New Roman" w:cs="Times New Roman"/>
          <w:sz w:val="20"/>
          <w:szCs w:val="20"/>
          <w:lang w:val="en-US" w:eastAsia="ru-RU"/>
        </w:rPr>
        <w:t>P</w:t>
      </w:r>
      <w:r w:rsidRPr="00E22DDB">
        <w:rPr>
          <w:rFonts w:ascii="Times New Roman" w:eastAsia="TimesNewRoman" w:hAnsi="Times New Roman" w:cs="Times New Roman"/>
          <w:sz w:val="20"/>
          <w:szCs w:val="20"/>
          <w:lang w:eastAsia="ru-RU"/>
        </w:rPr>
        <w:t>.</w:t>
      </w:r>
    </w:p>
    <w:p w14:paraId="002AA02D"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p>
    <w:p w14:paraId="7E4FA1B4"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Рисунок 1:</w:t>
      </w:r>
      <w:r w:rsidRPr="00E22DDB">
        <w:rPr>
          <w:rFonts w:ascii="Times New Roman" w:eastAsia="TimesNewRoman" w:hAnsi="Times New Roman" w:cs="Times New Roman"/>
          <w:b/>
          <w:sz w:val="24"/>
          <w:szCs w:val="24"/>
          <w:lang w:eastAsia="ru-RU"/>
        </w:rPr>
        <w:tab/>
        <w:t xml:space="preserve">График Каплан-Мейера, Выживаемость без радиографической </w:t>
      </w:r>
      <w:r w:rsidRPr="00E22DDB">
        <w:rPr>
          <w:rFonts w:ascii="Times New Roman" w:eastAsia="TimesNewRoman" w:hAnsi="Times New Roman" w:cs="Times New Roman"/>
          <w:b/>
          <w:sz w:val="24"/>
          <w:szCs w:val="24"/>
          <w:lang w:eastAsia="ru-RU"/>
        </w:rPr>
        <w:lastRenderedPageBreak/>
        <w:t xml:space="preserve">прогрессии; </w:t>
      </w:r>
      <w:r w:rsidRPr="00E22DDB">
        <w:rPr>
          <w:rFonts w:ascii="Times New Roman" w:eastAsia="TimesNewRoman" w:hAnsi="Times New Roman" w:cs="Times New Roman"/>
          <w:b/>
          <w:sz w:val="24"/>
          <w:szCs w:val="24"/>
          <w:lang w:val="en-US" w:eastAsia="ru-RU"/>
        </w:rPr>
        <w:t>ITT</w:t>
      </w:r>
      <w:r w:rsidRPr="00E22DDB">
        <w:rPr>
          <w:rFonts w:ascii="Times New Roman" w:eastAsia="TimesNewRoman" w:hAnsi="Times New Roman" w:cs="Times New Roman"/>
          <w:b/>
          <w:sz w:val="24"/>
          <w:szCs w:val="24"/>
          <w:lang w:eastAsia="ru-RU"/>
        </w:rPr>
        <w:t xml:space="preserve">-популяция (исследование </w:t>
      </w:r>
      <w:r w:rsidRPr="00E22DDB">
        <w:rPr>
          <w:rFonts w:ascii="Times New Roman" w:eastAsia="TimesNewRoman" w:hAnsi="Times New Roman" w:cs="Times New Roman"/>
          <w:b/>
          <w:sz w:val="24"/>
          <w:szCs w:val="24"/>
          <w:lang w:val="en-US" w:eastAsia="ru-RU"/>
        </w:rPr>
        <w:t>PCR</w:t>
      </w:r>
      <w:r w:rsidRPr="00E22DDB">
        <w:rPr>
          <w:rFonts w:ascii="Times New Roman" w:eastAsia="TimesNewRoman" w:hAnsi="Times New Roman" w:cs="Times New Roman"/>
          <w:b/>
          <w:sz w:val="24"/>
          <w:szCs w:val="24"/>
          <w:lang w:eastAsia="ru-RU"/>
        </w:rPr>
        <w:t>3011)</w:t>
      </w:r>
    </w:p>
    <w:p w14:paraId="4FFB81E8"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E22DDB">
        <w:rPr>
          <w:rFonts w:ascii="Times New Roman" w:eastAsia="Batang" w:hAnsi="Times New Roman" w:cs="Times New Roman"/>
          <w:noProof/>
          <w:sz w:val="24"/>
          <w:szCs w:val="24"/>
          <w:lang w:eastAsia="ru-RU"/>
        </w:rPr>
        <w:drawing>
          <wp:anchor distT="0" distB="0" distL="0" distR="0" simplePos="0" relativeHeight="251697152" behindDoc="1" locked="0" layoutInCell="1" allowOverlap="1" wp14:anchorId="7AD4361F" wp14:editId="3A2D3275">
            <wp:simplePos x="0" y="0"/>
            <wp:positionH relativeFrom="page">
              <wp:posOffset>1178560</wp:posOffset>
            </wp:positionH>
            <wp:positionV relativeFrom="paragraph">
              <wp:posOffset>148590</wp:posOffset>
            </wp:positionV>
            <wp:extent cx="5818505" cy="3903345"/>
            <wp:effectExtent l="0" t="0" r="0" b="1905"/>
            <wp:wrapTopAndBottom/>
            <wp:docPr id="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8505" cy="390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391BF" w14:textId="24109A4C"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E22DDB">
        <w:rPr>
          <w:rFonts w:ascii="Times New Roman" w:eastAsia="TimesNewRoman,Bold" w:hAnsi="Times New Roman" w:cs="Times New Roman"/>
          <w:bCs/>
          <w:sz w:val="24"/>
          <w:szCs w:val="24"/>
          <w:lang w:eastAsia="ru-RU"/>
        </w:rPr>
        <w:t xml:space="preserve">Статистически значимое улучшение </w:t>
      </w:r>
      <w:r w:rsidRPr="00E22DDB">
        <w:rPr>
          <w:rFonts w:ascii="Times New Roman" w:eastAsia="TimesNewRoman,Bold" w:hAnsi="Times New Roman" w:cs="Times New Roman"/>
          <w:bCs/>
          <w:sz w:val="24"/>
          <w:szCs w:val="24"/>
          <w:lang w:val="en-US" w:eastAsia="ru-RU"/>
        </w:rPr>
        <w:t>OS</w:t>
      </w:r>
      <w:r w:rsidRPr="00E22DDB">
        <w:rPr>
          <w:rFonts w:ascii="Times New Roman" w:eastAsia="TimesNewRoman,Bold" w:hAnsi="Times New Roman" w:cs="Times New Roman"/>
          <w:bCs/>
          <w:sz w:val="24"/>
          <w:szCs w:val="24"/>
          <w:lang w:eastAsia="ru-RU"/>
        </w:rPr>
        <w:t xml:space="preserve"> (Общая выживаемость) в пользу </w:t>
      </w:r>
      <w:r w:rsidRPr="00E22DDB">
        <w:rPr>
          <w:rFonts w:ascii="Times New Roman" w:eastAsia="TimesNewRoman,Bold" w:hAnsi="Times New Roman" w:cs="Times New Roman"/>
          <w:bCs/>
          <w:sz w:val="24"/>
          <w:szCs w:val="24"/>
          <w:lang w:val="en-US" w:eastAsia="ru-RU"/>
        </w:rPr>
        <w:t>AA</w:t>
      </w:r>
      <w:r w:rsidRPr="00E22DDB">
        <w:rPr>
          <w:rFonts w:ascii="Times New Roman" w:eastAsia="TimesNewRoman,Bold" w:hAnsi="Times New Roman" w:cs="Times New Roman"/>
          <w:bCs/>
          <w:sz w:val="24"/>
          <w:szCs w:val="24"/>
          <w:lang w:eastAsia="ru-RU"/>
        </w:rPr>
        <w:t>-</w:t>
      </w:r>
      <w:r w:rsidRPr="00E22DDB">
        <w:rPr>
          <w:rFonts w:ascii="Times New Roman" w:eastAsia="TimesNewRoman,Bold" w:hAnsi="Times New Roman" w:cs="Times New Roman"/>
          <w:bCs/>
          <w:sz w:val="24"/>
          <w:szCs w:val="24"/>
          <w:lang w:val="en-US" w:eastAsia="ru-RU"/>
        </w:rPr>
        <w:t>P</w:t>
      </w:r>
      <w:r w:rsidRPr="00E22DDB">
        <w:rPr>
          <w:rFonts w:ascii="Times New Roman" w:eastAsia="TimesNewRoman,Bold" w:hAnsi="Times New Roman" w:cs="Times New Roman"/>
          <w:bCs/>
          <w:sz w:val="24"/>
          <w:szCs w:val="24"/>
          <w:lang w:eastAsia="ru-RU"/>
        </w:rPr>
        <w:t xml:space="preserve"> и </w:t>
      </w:r>
      <w:r w:rsidRPr="00E22DDB">
        <w:rPr>
          <w:rFonts w:ascii="Times New Roman" w:eastAsia="TimesNewRoman,Bold" w:hAnsi="Times New Roman" w:cs="Times New Roman"/>
          <w:bCs/>
          <w:sz w:val="24"/>
          <w:szCs w:val="24"/>
          <w:lang w:val="en-US" w:eastAsia="ru-RU"/>
        </w:rPr>
        <w:t>A</w:t>
      </w:r>
      <w:r w:rsidRPr="00E22DDB">
        <w:rPr>
          <w:rFonts w:ascii="Times New Roman" w:eastAsia="TimesNewRoman,Bold" w:hAnsi="Times New Roman" w:cs="Times New Roman"/>
          <w:bCs/>
          <w:sz w:val="24"/>
          <w:szCs w:val="24"/>
          <w:lang w:eastAsia="ru-RU"/>
        </w:rPr>
        <w:t>ДТ наблюдалось вместе со снижением риска смерти на 3</w:t>
      </w:r>
      <w:r w:rsidR="00CF2FE5" w:rsidRPr="00E22DDB">
        <w:rPr>
          <w:rFonts w:ascii="Times New Roman" w:eastAsia="TimesNewRoman,Bold" w:hAnsi="Times New Roman" w:cs="Times New Roman"/>
          <w:bCs/>
          <w:sz w:val="24"/>
          <w:szCs w:val="24"/>
          <w:lang w:eastAsia="ru-RU"/>
        </w:rPr>
        <w:t>4</w:t>
      </w:r>
      <w:r w:rsidRPr="00E22DDB">
        <w:rPr>
          <w:rFonts w:ascii="Times New Roman" w:eastAsia="TimesNewRoman,Bold" w:hAnsi="Times New Roman" w:cs="Times New Roman"/>
          <w:bCs/>
          <w:sz w:val="24"/>
          <w:szCs w:val="24"/>
          <w:lang w:eastAsia="ru-RU"/>
        </w:rPr>
        <w:t>% по сравнению с плацебо и АДТ (</w:t>
      </w:r>
      <w:r w:rsidR="00DE7A6F" w:rsidRPr="00E22DDB">
        <w:rPr>
          <w:rFonts w:ascii="Times New Roman" w:eastAsia="TimesNewRoman,Bold" w:hAnsi="Times New Roman" w:cs="Times New Roman"/>
          <w:bCs/>
          <w:sz w:val="24"/>
          <w:szCs w:val="24"/>
          <w:lang w:eastAsia="ru-RU"/>
        </w:rPr>
        <w:t>Отношение рисков</w:t>
      </w:r>
      <w:r w:rsidRPr="00E22DDB">
        <w:rPr>
          <w:rFonts w:ascii="Times New Roman" w:eastAsia="TimesNewRoman,Bold" w:hAnsi="Times New Roman" w:cs="Times New Roman"/>
          <w:bCs/>
          <w:sz w:val="24"/>
          <w:szCs w:val="24"/>
          <w:lang w:eastAsia="ru-RU"/>
        </w:rPr>
        <w:t xml:space="preserve"> = 0.6</w:t>
      </w:r>
      <w:r w:rsidR="00DE7A6F" w:rsidRPr="00E22DDB">
        <w:rPr>
          <w:rFonts w:ascii="Times New Roman" w:eastAsia="TimesNewRoman,Bold" w:hAnsi="Times New Roman" w:cs="Times New Roman"/>
          <w:bCs/>
          <w:sz w:val="24"/>
          <w:szCs w:val="24"/>
          <w:lang w:eastAsia="ru-RU"/>
        </w:rPr>
        <w:t>6</w:t>
      </w:r>
      <w:r w:rsidRPr="00E22DDB">
        <w:rPr>
          <w:rFonts w:ascii="Times New Roman" w:eastAsia="TimesNewRoman,Bold" w:hAnsi="Times New Roman" w:cs="Times New Roman"/>
          <w:bCs/>
          <w:sz w:val="24"/>
          <w:szCs w:val="24"/>
          <w:lang w:eastAsia="ru-RU"/>
        </w:rPr>
        <w:t xml:space="preserve">; 95% ДИ </w:t>
      </w:r>
      <w:r w:rsidR="00DE7A6F" w:rsidRPr="00E22DDB">
        <w:rPr>
          <w:rFonts w:ascii="Times New Roman" w:eastAsia="TimesNewRoman,Bold" w:hAnsi="Times New Roman" w:cs="Times New Roman"/>
          <w:bCs/>
          <w:sz w:val="24"/>
          <w:szCs w:val="24"/>
          <w:lang w:eastAsia="ru-RU"/>
        </w:rPr>
        <w:t>95%:</w:t>
      </w:r>
      <w:r w:rsidRPr="00E22DDB">
        <w:rPr>
          <w:rFonts w:ascii="Times New Roman" w:eastAsia="TimesNewRoman,Bold" w:hAnsi="Times New Roman" w:cs="Times New Roman"/>
          <w:bCs/>
          <w:sz w:val="24"/>
          <w:szCs w:val="24"/>
          <w:lang w:eastAsia="ru-RU"/>
        </w:rPr>
        <w:t xml:space="preserve"> 0.</w:t>
      </w:r>
      <w:r w:rsidR="00DE7A6F" w:rsidRPr="00E22DDB">
        <w:rPr>
          <w:rFonts w:ascii="Times New Roman" w:eastAsia="TimesNewRoman,Bold" w:hAnsi="Times New Roman" w:cs="Times New Roman"/>
          <w:bCs/>
          <w:sz w:val="24"/>
          <w:szCs w:val="24"/>
          <w:lang w:eastAsia="ru-RU"/>
        </w:rPr>
        <w:t>56, 0.78;</w:t>
      </w:r>
      <w:r w:rsidRPr="00E22DDB">
        <w:rPr>
          <w:rFonts w:ascii="Times New Roman" w:eastAsia="TimesNewRoman,Bold" w:hAnsi="Times New Roman" w:cs="Times New Roman"/>
          <w:bCs/>
          <w:sz w:val="24"/>
          <w:szCs w:val="24"/>
          <w:lang w:eastAsia="ru-RU"/>
        </w:rPr>
        <w:t xml:space="preserve"> </w:t>
      </w:r>
      <w:r w:rsidRPr="00E22DDB">
        <w:rPr>
          <w:rFonts w:ascii="Times New Roman" w:eastAsia="TimesNewRoman,Bold" w:hAnsi="Times New Roman" w:cs="Times New Roman"/>
          <w:bCs/>
          <w:sz w:val="24"/>
          <w:szCs w:val="24"/>
          <w:lang w:val="en-US" w:eastAsia="ru-RU"/>
        </w:rPr>
        <w:t>p</w:t>
      </w:r>
      <w:r w:rsidRPr="00E22DDB">
        <w:rPr>
          <w:rFonts w:ascii="Times New Roman" w:eastAsia="TimesNewRoman,Bold" w:hAnsi="Times New Roman" w:cs="Times New Roman"/>
          <w:bCs/>
          <w:sz w:val="24"/>
          <w:szCs w:val="24"/>
          <w:lang w:eastAsia="ru-RU"/>
        </w:rPr>
        <w:t xml:space="preserve"> &lt;0.0001</w:t>
      </w:r>
      <w:r w:rsidR="00DE7A6F" w:rsidRPr="00E22DDB">
        <w:rPr>
          <w:rFonts w:ascii="Times New Roman" w:eastAsia="TimesNewRoman,Bold" w:hAnsi="Times New Roman" w:cs="Times New Roman"/>
          <w:bCs/>
          <w:sz w:val="24"/>
          <w:szCs w:val="24"/>
          <w:lang w:eastAsia="ru-RU"/>
        </w:rPr>
        <w:t xml:space="preserve">) </w:t>
      </w:r>
      <w:r w:rsidRPr="00E22DDB">
        <w:rPr>
          <w:rFonts w:ascii="Times New Roman" w:eastAsia="TimesNewRoman,Bold" w:hAnsi="Times New Roman" w:cs="Times New Roman"/>
          <w:bCs/>
          <w:sz w:val="24"/>
          <w:szCs w:val="24"/>
          <w:lang w:eastAsia="ru-RU"/>
        </w:rPr>
        <w:t xml:space="preserve">(см. таблицу </w:t>
      </w:r>
      <w:r w:rsidR="00DE7A6F" w:rsidRPr="00E22DDB">
        <w:rPr>
          <w:rFonts w:ascii="Times New Roman" w:eastAsia="TimesNewRoman,Bold" w:hAnsi="Times New Roman" w:cs="Times New Roman"/>
          <w:bCs/>
          <w:sz w:val="24"/>
          <w:szCs w:val="24"/>
          <w:lang w:eastAsia="ru-RU"/>
        </w:rPr>
        <w:t>3</w:t>
      </w:r>
      <w:r w:rsidRPr="00E22DDB">
        <w:rPr>
          <w:rFonts w:ascii="Times New Roman" w:eastAsia="TimesNewRoman,Bold" w:hAnsi="Times New Roman" w:cs="Times New Roman"/>
          <w:bCs/>
          <w:sz w:val="24"/>
          <w:szCs w:val="24"/>
          <w:lang w:eastAsia="ru-RU"/>
        </w:rPr>
        <w:t xml:space="preserve"> и Рисунок 2).</w:t>
      </w:r>
    </w:p>
    <w:p w14:paraId="49EB3EE0"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60D80631" w14:textId="1BA5B64E"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bCs/>
          <w:sz w:val="24"/>
          <w:szCs w:val="24"/>
          <w:lang w:eastAsia="ru-RU"/>
        </w:rPr>
        <w:t xml:space="preserve">Таблица </w:t>
      </w:r>
      <w:r w:rsidR="00DE7A6F" w:rsidRPr="00E22DDB">
        <w:rPr>
          <w:rFonts w:ascii="Times New Roman" w:eastAsia="TimesNewRoman,Bold" w:hAnsi="Times New Roman" w:cs="Times New Roman"/>
          <w:b/>
          <w:bCs/>
          <w:sz w:val="24"/>
          <w:szCs w:val="24"/>
          <w:lang w:eastAsia="ru-RU"/>
        </w:rPr>
        <w:t>3</w:t>
      </w:r>
      <w:r w:rsidRPr="00E22DDB">
        <w:rPr>
          <w:rFonts w:ascii="Times New Roman" w:eastAsia="TimesNewRoman,Bold" w:hAnsi="Times New Roman" w:cs="Times New Roman"/>
          <w:b/>
          <w:bCs/>
          <w:sz w:val="24"/>
          <w:szCs w:val="24"/>
          <w:lang w:eastAsia="ru-RU"/>
        </w:rPr>
        <w:t>:</w:t>
      </w:r>
      <w:r w:rsidRPr="00E22DDB">
        <w:rPr>
          <w:rFonts w:ascii="Times New Roman" w:eastAsia="TimesNewRoman,Bold" w:hAnsi="Times New Roman" w:cs="Times New Roman"/>
          <w:b/>
          <w:bCs/>
          <w:sz w:val="24"/>
          <w:szCs w:val="24"/>
          <w:lang w:eastAsia="ru-RU"/>
        </w:rPr>
        <w:tab/>
      </w:r>
      <w:r w:rsidR="00423574" w:rsidRPr="00E22DDB">
        <w:rPr>
          <w:rFonts w:ascii="Times New Roman" w:eastAsia="TimesNewRoman,Bold" w:hAnsi="Times New Roman" w:cs="Times New Roman"/>
          <w:b/>
          <w:bCs/>
          <w:sz w:val="24"/>
          <w:szCs w:val="24"/>
          <w:lang w:eastAsia="ru-RU"/>
        </w:rPr>
        <w:t>Общая выживаемость пациентов, получавших абиратерона ацетат или плацебо в исследовании PCR3011 (анализ назначаемого лечения)</w:t>
      </w:r>
    </w:p>
    <w:tbl>
      <w:tblPr>
        <w:tblW w:w="9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2492"/>
        <w:gridCol w:w="2300"/>
      </w:tblGrid>
      <w:tr w:rsidR="009901E9" w:rsidRPr="00E22DDB" w14:paraId="3CF8ECEB" w14:textId="77777777" w:rsidTr="00DE7A6F">
        <w:trPr>
          <w:trHeight w:val="234"/>
        </w:trPr>
        <w:tc>
          <w:tcPr>
            <w:tcW w:w="4315" w:type="dxa"/>
          </w:tcPr>
          <w:p w14:paraId="5A727871"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p>
        </w:tc>
        <w:tc>
          <w:tcPr>
            <w:tcW w:w="2492" w:type="dxa"/>
          </w:tcPr>
          <w:p w14:paraId="74835D71" w14:textId="05ED6E09" w:rsidR="009901E9" w:rsidRPr="00E22DDB" w:rsidRDefault="009901E9" w:rsidP="00DE7A6F">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eastAsia="ru-RU"/>
              </w:rPr>
            </w:pPr>
          </w:p>
        </w:tc>
        <w:tc>
          <w:tcPr>
            <w:tcW w:w="2300" w:type="dxa"/>
          </w:tcPr>
          <w:p w14:paraId="6EA4A272" w14:textId="3CBBA673" w:rsidR="009901E9" w:rsidRPr="00E22DDB" w:rsidRDefault="009901E9" w:rsidP="00DE7A6F">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eastAsia="ru-RU"/>
              </w:rPr>
            </w:pPr>
          </w:p>
        </w:tc>
      </w:tr>
      <w:tr w:rsidR="00DE7A6F" w:rsidRPr="00E22DDB" w14:paraId="6D41D750" w14:textId="77777777" w:rsidTr="00DE7A6F">
        <w:trPr>
          <w:trHeight w:val="234"/>
        </w:trPr>
        <w:tc>
          <w:tcPr>
            <w:tcW w:w="4315" w:type="dxa"/>
          </w:tcPr>
          <w:p w14:paraId="65CE43B9" w14:textId="3E3D9D0C" w:rsidR="00DE7A6F" w:rsidRPr="00E22DDB" w:rsidRDefault="00DE7A6F" w:rsidP="00DE7A6F">
            <w:pPr>
              <w:widowControl w:val="0"/>
              <w:autoSpaceDE w:val="0"/>
              <w:autoSpaceDN w:val="0"/>
              <w:adjustRightInd w:val="0"/>
              <w:spacing w:after="0" w:line="240" w:lineRule="auto"/>
              <w:jc w:val="both"/>
              <w:rPr>
                <w:rFonts w:ascii="Times New Roman" w:eastAsia="TimesNewRoman,Bold" w:hAnsi="Times New Roman" w:cs="Times New Roman"/>
                <w:b/>
                <w:sz w:val="24"/>
                <w:szCs w:val="24"/>
                <w:lang w:eastAsia="ru-RU"/>
              </w:rPr>
            </w:pPr>
            <w:r w:rsidRPr="00E22DDB">
              <w:rPr>
                <w:rFonts w:ascii="Times New Roman" w:eastAsia="TimesNewRoman,Bold" w:hAnsi="Times New Roman" w:cs="Times New Roman"/>
                <w:b/>
                <w:sz w:val="24"/>
                <w:szCs w:val="24"/>
                <w:lang w:eastAsia="ru-RU"/>
              </w:rPr>
              <w:t xml:space="preserve">Общая выживаемость </w:t>
            </w:r>
          </w:p>
        </w:tc>
        <w:tc>
          <w:tcPr>
            <w:tcW w:w="2492" w:type="dxa"/>
          </w:tcPr>
          <w:p w14:paraId="3508F450" w14:textId="53ECC662" w:rsidR="00DE7A6F" w:rsidRPr="00E22DDB" w:rsidRDefault="00DE7A6F" w:rsidP="00DE7A6F">
            <w:pPr>
              <w:widowControl w:val="0"/>
              <w:autoSpaceDE w:val="0"/>
              <w:autoSpaceDN w:val="0"/>
              <w:adjustRightInd w:val="0"/>
              <w:spacing w:after="0" w:line="240" w:lineRule="auto"/>
              <w:jc w:val="center"/>
              <w:rPr>
                <w:rFonts w:ascii="Times New Roman" w:eastAsia="TimesNewRoman,Bold" w:hAnsi="Times New Roman" w:cs="Times New Roman"/>
                <w:b/>
                <w:sz w:val="24"/>
                <w:szCs w:val="24"/>
                <w:lang w:val="en-US" w:eastAsia="ru-RU"/>
              </w:rPr>
            </w:pPr>
            <w:r w:rsidRPr="00E22DDB">
              <w:rPr>
                <w:rFonts w:ascii="Times New Roman" w:eastAsia="TimesNewRoman,Bold" w:hAnsi="Times New Roman" w:cs="Times New Roman"/>
                <w:b/>
                <w:sz w:val="24"/>
                <w:szCs w:val="24"/>
                <w:lang w:val="en-US" w:eastAsia="ru-RU"/>
              </w:rPr>
              <w:t>AA-P</w:t>
            </w:r>
          </w:p>
        </w:tc>
        <w:tc>
          <w:tcPr>
            <w:tcW w:w="2300" w:type="dxa"/>
          </w:tcPr>
          <w:p w14:paraId="33916E51" w14:textId="3D83866D" w:rsidR="00DE7A6F" w:rsidRPr="00E22DDB" w:rsidRDefault="00DE7A6F" w:rsidP="00DE7A6F">
            <w:pPr>
              <w:widowControl w:val="0"/>
              <w:autoSpaceDE w:val="0"/>
              <w:autoSpaceDN w:val="0"/>
              <w:adjustRightInd w:val="0"/>
              <w:spacing w:after="0" w:line="240" w:lineRule="auto"/>
              <w:jc w:val="center"/>
              <w:rPr>
                <w:rFonts w:ascii="Times New Roman" w:eastAsia="TimesNewRoman,Bold" w:hAnsi="Times New Roman" w:cs="Times New Roman"/>
                <w:b/>
                <w:sz w:val="24"/>
                <w:szCs w:val="24"/>
                <w:lang w:eastAsia="ru-RU"/>
              </w:rPr>
            </w:pPr>
            <w:r w:rsidRPr="00E22DDB">
              <w:rPr>
                <w:rFonts w:ascii="Times New Roman" w:eastAsia="TimesNewRoman,Bold" w:hAnsi="Times New Roman" w:cs="Times New Roman"/>
                <w:b/>
                <w:sz w:val="24"/>
                <w:szCs w:val="24"/>
                <w:lang w:eastAsia="ru-RU"/>
              </w:rPr>
              <w:t>Плацебо</w:t>
            </w:r>
          </w:p>
        </w:tc>
      </w:tr>
      <w:tr w:rsidR="00DE7A6F" w:rsidRPr="00E22DDB" w14:paraId="3766879C" w14:textId="77777777" w:rsidTr="00DE7A6F">
        <w:trPr>
          <w:trHeight w:val="237"/>
        </w:trPr>
        <w:tc>
          <w:tcPr>
            <w:tcW w:w="4315" w:type="dxa"/>
            <w:hideMark/>
          </w:tcPr>
          <w:p w14:paraId="34A5D6CD" w14:textId="77777777" w:rsidR="00DE7A6F" w:rsidRPr="00E22DDB" w:rsidRDefault="00DE7A6F" w:rsidP="00DE7A6F">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E22DDB">
              <w:rPr>
                <w:rFonts w:ascii="Times New Roman" w:eastAsia="TimesNewRoman,Bold" w:hAnsi="Times New Roman" w:cs="Times New Roman"/>
                <w:bCs/>
                <w:sz w:val="24"/>
                <w:szCs w:val="24"/>
                <w:lang w:eastAsia="ru-RU"/>
              </w:rPr>
              <w:t>К-во рандомизированных пациентов</w:t>
            </w:r>
          </w:p>
        </w:tc>
        <w:tc>
          <w:tcPr>
            <w:tcW w:w="2492" w:type="dxa"/>
            <w:hideMark/>
          </w:tcPr>
          <w:p w14:paraId="592E51BC" w14:textId="77777777" w:rsidR="00DE7A6F" w:rsidRPr="00E22DDB" w:rsidRDefault="00DE7A6F" w:rsidP="00DE7A6F">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E22DDB">
              <w:rPr>
                <w:rFonts w:ascii="Times New Roman" w:eastAsia="TimesNewRoman,Bold" w:hAnsi="Times New Roman" w:cs="Times New Roman"/>
                <w:bCs/>
                <w:sz w:val="24"/>
                <w:szCs w:val="24"/>
                <w:lang w:val="en-US" w:eastAsia="ru-RU"/>
              </w:rPr>
              <w:t>597</w:t>
            </w:r>
          </w:p>
        </w:tc>
        <w:tc>
          <w:tcPr>
            <w:tcW w:w="2300" w:type="dxa"/>
            <w:hideMark/>
          </w:tcPr>
          <w:p w14:paraId="61027C47" w14:textId="77777777" w:rsidR="00DE7A6F" w:rsidRPr="00E22DDB" w:rsidRDefault="00DE7A6F" w:rsidP="00DE7A6F">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E22DDB">
              <w:rPr>
                <w:rFonts w:ascii="Times New Roman" w:eastAsia="TimesNewRoman,Bold" w:hAnsi="Times New Roman" w:cs="Times New Roman"/>
                <w:bCs/>
                <w:sz w:val="24"/>
                <w:szCs w:val="24"/>
                <w:lang w:val="en-US" w:eastAsia="ru-RU"/>
              </w:rPr>
              <w:t>602</w:t>
            </w:r>
          </w:p>
        </w:tc>
      </w:tr>
      <w:tr w:rsidR="00DE7A6F" w:rsidRPr="00E22DDB" w14:paraId="4C9B4432" w14:textId="77777777" w:rsidTr="00DE7A6F">
        <w:trPr>
          <w:trHeight w:val="237"/>
        </w:trPr>
        <w:tc>
          <w:tcPr>
            <w:tcW w:w="4315" w:type="dxa"/>
          </w:tcPr>
          <w:p w14:paraId="29C28BC1" w14:textId="6256AC76" w:rsidR="00DE7A6F" w:rsidRPr="00E22DDB" w:rsidRDefault="00DE7A6F" w:rsidP="00DE7A6F">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E22DDB">
              <w:rPr>
                <w:rFonts w:ascii="Times New Roman" w:eastAsia="TimesNewRoman,Bold" w:hAnsi="Times New Roman" w:cs="Times New Roman"/>
                <w:bCs/>
                <w:sz w:val="24"/>
                <w:szCs w:val="24"/>
                <w:lang w:eastAsia="ru-RU"/>
              </w:rPr>
              <w:t>Смертность (%)</w:t>
            </w:r>
          </w:p>
        </w:tc>
        <w:tc>
          <w:tcPr>
            <w:tcW w:w="2492" w:type="dxa"/>
          </w:tcPr>
          <w:p w14:paraId="27783A2A" w14:textId="2FBC8150" w:rsidR="00DE7A6F" w:rsidRPr="00E22DDB" w:rsidRDefault="00DE7A6F" w:rsidP="00DE7A6F">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E22DDB">
              <w:rPr>
                <w:rFonts w:ascii="Times New Roman" w:eastAsia="TimesNewRoman,Bold" w:hAnsi="Times New Roman" w:cs="Times New Roman"/>
                <w:bCs/>
                <w:sz w:val="24"/>
                <w:szCs w:val="24"/>
                <w:lang w:val="en-US" w:eastAsia="ru-RU"/>
              </w:rPr>
              <w:t>275 (46%)</w:t>
            </w:r>
          </w:p>
        </w:tc>
        <w:tc>
          <w:tcPr>
            <w:tcW w:w="2300" w:type="dxa"/>
          </w:tcPr>
          <w:p w14:paraId="4A5C28EF" w14:textId="49175917" w:rsidR="00DE7A6F" w:rsidRPr="00E22DDB" w:rsidRDefault="00DE7A6F" w:rsidP="00DE7A6F">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E22DDB">
              <w:rPr>
                <w:rFonts w:ascii="Times New Roman" w:eastAsia="TimesNewRoman,Bold" w:hAnsi="Times New Roman" w:cs="Times New Roman"/>
                <w:bCs/>
                <w:sz w:val="24"/>
                <w:szCs w:val="24"/>
                <w:lang w:val="en-US" w:eastAsia="ru-RU"/>
              </w:rPr>
              <w:t>343 (57%)</w:t>
            </w:r>
          </w:p>
        </w:tc>
      </w:tr>
      <w:tr w:rsidR="00DE7A6F" w:rsidRPr="00E22DDB" w14:paraId="1618E538" w14:textId="77777777" w:rsidTr="00DE7A6F">
        <w:trPr>
          <w:trHeight w:val="237"/>
        </w:trPr>
        <w:tc>
          <w:tcPr>
            <w:tcW w:w="4315" w:type="dxa"/>
          </w:tcPr>
          <w:p w14:paraId="42D95987" w14:textId="11DD2BC0" w:rsidR="00DE7A6F" w:rsidRPr="00E22DDB" w:rsidRDefault="00DE7A6F" w:rsidP="00DE7A6F">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E22DDB">
              <w:rPr>
                <w:rFonts w:ascii="Times New Roman" w:eastAsia="TimesNewRoman,Bold" w:hAnsi="Times New Roman" w:cs="Times New Roman"/>
                <w:bCs/>
                <w:sz w:val="24"/>
                <w:szCs w:val="24"/>
                <w:lang w:eastAsia="ru-RU"/>
              </w:rPr>
              <w:t>Средняя выживаемость (месяцы)</w:t>
            </w:r>
          </w:p>
        </w:tc>
        <w:tc>
          <w:tcPr>
            <w:tcW w:w="2492" w:type="dxa"/>
          </w:tcPr>
          <w:p w14:paraId="274C738D" w14:textId="78EE9659" w:rsidR="00DE7A6F" w:rsidRPr="00E22DDB" w:rsidRDefault="00DE7A6F" w:rsidP="00DE7A6F">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E22DDB">
              <w:rPr>
                <w:rFonts w:ascii="Times New Roman" w:eastAsia="TimesNewRoman,Bold" w:hAnsi="Times New Roman" w:cs="Times New Roman"/>
                <w:bCs/>
                <w:sz w:val="24"/>
                <w:szCs w:val="24"/>
                <w:lang w:val="en-US" w:eastAsia="ru-RU"/>
              </w:rPr>
              <w:t>53.3</w:t>
            </w:r>
          </w:p>
        </w:tc>
        <w:tc>
          <w:tcPr>
            <w:tcW w:w="2300" w:type="dxa"/>
          </w:tcPr>
          <w:p w14:paraId="3AF9A417" w14:textId="0573F779" w:rsidR="00DE7A6F" w:rsidRPr="00E22DDB" w:rsidRDefault="00DE7A6F" w:rsidP="00DE7A6F">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E22DDB">
              <w:rPr>
                <w:rFonts w:ascii="Times New Roman" w:eastAsia="TimesNewRoman,Bold" w:hAnsi="Times New Roman" w:cs="Times New Roman"/>
                <w:bCs/>
                <w:sz w:val="24"/>
                <w:szCs w:val="24"/>
                <w:lang w:val="en-US" w:eastAsia="ru-RU"/>
              </w:rPr>
              <w:t>36.5</w:t>
            </w:r>
          </w:p>
        </w:tc>
      </w:tr>
      <w:tr w:rsidR="00DE7A6F" w:rsidRPr="00E22DDB" w14:paraId="40110E7D" w14:textId="77777777" w:rsidTr="00DE7A6F">
        <w:trPr>
          <w:trHeight w:val="237"/>
        </w:trPr>
        <w:tc>
          <w:tcPr>
            <w:tcW w:w="4315" w:type="dxa"/>
          </w:tcPr>
          <w:p w14:paraId="2995B275" w14:textId="0CA432C9" w:rsidR="00DE7A6F" w:rsidRPr="00E22DDB" w:rsidRDefault="00DE7A6F" w:rsidP="00DE7A6F">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E22DDB">
              <w:rPr>
                <w:rFonts w:ascii="Times New Roman" w:eastAsia="TimesNewRoman,Bold" w:hAnsi="Times New Roman" w:cs="Times New Roman"/>
                <w:bCs/>
                <w:sz w:val="24"/>
                <w:szCs w:val="24"/>
                <w:lang w:eastAsia="ru-RU"/>
              </w:rPr>
              <w:t>(95% ДИ)</w:t>
            </w:r>
          </w:p>
        </w:tc>
        <w:tc>
          <w:tcPr>
            <w:tcW w:w="2492" w:type="dxa"/>
          </w:tcPr>
          <w:p w14:paraId="6EEBF350" w14:textId="7D89550C" w:rsidR="00DE7A6F" w:rsidRPr="00E22DDB" w:rsidRDefault="00DE7A6F" w:rsidP="00DE7A6F">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E22DDB">
              <w:rPr>
                <w:rFonts w:ascii="Times New Roman" w:eastAsia="TimesNewRoman,Bold" w:hAnsi="Times New Roman" w:cs="Times New Roman"/>
                <w:bCs/>
                <w:sz w:val="24"/>
                <w:szCs w:val="24"/>
                <w:lang w:val="en-US" w:eastAsia="ru-RU"/>
              </w:rPr>
              <w:t>(48.2, NE)</w:t>
            </w:r>
          </w:p>
        </w:tc>
        <w:tc>
          <w:tcPr>
            <w:tcW w:w="2300" w:type="dxa"/>
          </w:tcPr>
          <w:p w14:paraId="6CE248D5" w14:textId="41BB7DEA" w:rsidR="00DE7A6F" w:rsidRPr="00E22DDB" w:rsidRDefault="00DE7A6F" w:rsidP="00DE7A6F">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E22DDB">
              <w:rPr>
                <w:rFonts w:ascii="Times New Roman" w:eastAsia="TimesNewRoman,Bold" w:hAnsi="Times New Roman" w:cs="Times New Roman"/>
                <w:bCs/>
                <w:sz w:val="24"/>
                <w:szCs w:val="24"/>
                <w:lang w:val="en-US" w:eastAsia="ru-RU"/>
              </w:rPr>
              <w:t>(33.5, 40.0)</w:t>
            </w:r>
          </w:p>
        </w:tc>
      </w:tr>
      <w:tr w:rsidR="00DE7A6F" w:rsidRPr="00E22DDB" w14:paraId="314B5221" w14:textId="77777777" w:rsidTr="00983E9F">
        <w:trPr>
          <w:trHeight w:val="237"/>
        </w:trPr>
        <w:tc>
          <w:tcPr>
            <w:tcW w:w="4315" w:type="dxa"/>
          </w:tcPr>
          <w:p w14:paraId="3148EF06" w14:textId="1E958C94" w:rsidR="00DE7A6F" w:rsidRPr="00E22DDB" w:rsidRDefault="00DE7A6F" w:rsidP="00DE7A6F">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E22DDB">
              <w:rPr>
                <w:rFonts w:ascii="Times New Roman" w:eastAsia="TimesNewRoman,Bold" w:hAnsi="Times New Roman" w:cs="Times New Roman"/>
                <w:bCs/>
                <w:sz w:val="24"/>
                <w:szCs w:val="24"/>
                <w:lang w:eastAsia="ru-RU"/>
              </w:rPr>
              <w:t>Отношение рисков (95 % ДИ)</w:t>
            </w:r>
            <w:r w:rsidRPr="00E22DDB">
              <w:rPr>
                <w:rFonts w:ascii="Times New Roman" w:eastAsia="TimesNewRoman,Bold" w:hAnsi="Times New Roman" w:cs="Times New Roman"/>
                <w:bCs/>
                <w:sz w:val="24"/>
                <w:szCs w:val="24"/>
                <w:vertAlign w:val="superscript"/>
                <w:lang w:eastAsia="ru-RU"/>
              </w:rPr>
              <w:t>1</w:t>
            </w:r>
          </w:p>
        </w:tc>
        <w:tc>
          <w:tcPr>
            <w:tcW w:w="4792" w:type="dxa"/>
            <w:gridSpan w:val="2"/>
          </w:tcPr>
          <w:p w14:paraId="5104695F" w14:textId="28568CB1" w:rsidR="00DE7A6F" w:rsidRPr="00E22DDB" w:rsidRDefault="00DE7A6F" w:rsidP="00DE7A6F">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E22DDB">
              <w:rPr>
                <w:rFonts w:ascii="Times New Roman" w:eastAsia="TimesNewRoman,Bold" w:hAnsi="Times New Roman" w:cs="Times New Roman"/>
                <w:bCs/>
                <w:sz w:val="24"/>
                <w:szCs w:val="24"/>
                <w:lang w:val="en-US" w:eastAsia="ru-RU"/>
              </w:rPr>
              <w:t>0.66 (0.56, 0.78)</w:t>
            </w:r>
          </w:p>
        </w:tc>
      </w:tr>
    </w:tbl>
    <w:p w14:paraId="1A6FCEEF" w14:textId="0FBD4EF9"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Cs/>
          <w:sz w:val="20"/>
          <w:szCs w:val="20"/>
          <w:lang w:eastAsia="ru-RU"/>
        </w:rPr>
      </w:pPr>
      <w:r w:rsidRPr="00E22DDB">
        <w:rPr>
          <w:rFonts w:ascii="Times New Roman" w:eastAsia="TimesNewRoman,Bold" w:hAnsi="Times New Roman" w:cs="Times New Roman"/>
          <w:bCs/>
          <w:sz w:val="20"/>
          <w:szCs w:val="20"/>
          <w:lang w:eastAsia="ru-RU"/>
        </w:rPr>
        <w:t xml:space="preserve">Примечание: </w:t>
      </w:r>
      <w:r w:rsidRPr="00E22DDB">
        <w:rPr>
          <w:rFonts w:ascii="Times New Roman" w:eastAsia="TimesNewRoman,Bold" w:hAnsi="Times New Roman" w:cs="Times New Roman"/>
          <w:bCs/>
          <w:sz w:val="20"/>
          <w:szCs w:val="20"/>
          <w:lang w:val="en-US" w:eastAsia="ru-RU"/>
        </w:rPr>
        <w:t>NE</w:t>
      </w:r>
      <w:r w:rsidRPr="00E22DDB">
        <w:rPr>
          <w:rFonts w:ascii="Times New Roman" w:eastAsia="TimesNewRoman,Bold" w:hAnsi="Times New Roman" w:cs="Times New Roman"/>
          <w:bCs/>
          <w:sz w:val="20"/>
          <w:szCs w:val="20"/>
          <w:lang w:eastAsia="ru-RU"/>
        </w:rPr>
        <w:t xml:space="preserve"> = не оценивается. Радиографическая прогрессия и смерть учитываются при определении события </w:t>
      </w:r>
      <w:r w:rsidRPr="00E22DDB">
        <w:rPr>
          <w:rFonts w:ascii="Times New Roman" w:eastAsia="TimesNewRoman,Bold" w:hAnsi="Times New Roman" w:cs="Times New Roman"/>
          <w:bCs/>
          <w:sz w:val="20"/>
          <w:szCs w:val="20"/>
          <w:lang w:val="en-US" w:eastAsia="ru-RU"/>
        </w:rPr>
        <w:t>rPFS</w:t>
      </w:r>
      <w:r w:rsidRPr="00E22DDB">
        <w:rPr>
          <w:rFonts w:ascii="Times New Roman" w:eastAsia="TimesNewRoman,Bold" w:hAnsi="Times New Roman" w:cs="Times New Roman"/>
          <w:bCs/>
          <w:sz w:val="20"/>
          <w:szCs w:val="20"/>
          <w:lang w:eastAsia="ru-RU"/>
        </w:rPr>
        <w:t xml:space="preserve">. </w:t>
      </w:r>
      <w:r w:rsidRPr="00E22DDB">
        <w:rPr>
          <w:rFonts w:ascii="Times New Roman" w:eastAsia="TimesNewRoman,Bold" w:hAnsi="Times New Roman" w:cs="Times New Roman"/>
          <w:bCs/>
          <w:sz w:val="20"/>
          <w:szCs w:val="20"/>
          <w:lang w:val="en-US" w:eastAsia="ru-RU"/>
        </w:rPr>
        <w:t>AA</w:t>
      </w:r>
      <w:r w:rsidRPr="00E22DDB">
        <w:rPr>
          <w:rFonts w:ascii="Times New Roman" w:eastAsia="TimesNewRoman,Bold" w:hAnsi="Times New Roman" w:cs="Times New Roman"/>
          <w:bCs/>
          <w:sz w:val="20"/>
          <w:szCs w:val="20"/>
          <w:lang w:eastAsia="ru-RU"/>
        </w:rPr>
        <w:t>-</w:t>
      </w:r>
      <w:r w:rsidRPr="00E22DDB">
        <w:rPr>
          <w:rFonts w:ascii="Times New Roman" w:eastAsia="TimesNewRoman,Bold" w:hAnsi="Times New Roman" w:cs="Times New Roman"/>
          <w:bCs/>
          <w:sz w:val="20"/>
          <w:szCs w:val="20"/>
          <w:lang w:val="en-US" w:eastAsia="ru-RU"/>
        </w:rPr>
        <w:t>P</w:t>
      </w:r>
      <w:r w:rsidRPr="00E22DDB">
        <w:rPr>
          <w:rFonts w:ascii="Times New Roman" w:eastAsia="TimesNewRoman,Bold" w:hAnsi="Times New Roman" w:cs="Times New Roman"/>
          <w:bCs/>
          <w:sz w:val="20"/>
          <w:szCs w:val="20"/>
          <w:lang w:eastAsia="ru-RU"/>
        </w:rPr>
        <w:t xml:space="preserve"> = пациенты, которые получали абиратерона ацетат и преднизон.</w:t>
      </w:r>
    </w:p>
    <w:p w14:paraId="6C8B579C" w14:textId="038000EF" w:rsidR="00DE7A6F" w:rsidRPr="00E22DDB" w:rsidRDefault="00DE7A6F" w:rsidP="009901E9">
      <w:pPr>
        <w:widowControl w:val="0"/>
        <w:autoSpaceDE w:val="0"/>
        <w:autoSpaceDN w:val="0"/>
        <w:adjustRightInd w:val="0"/>
        <w:spacing w:after="0" w:line="240" w:lineRule="auto"/>
        <w:jc w:val="both"/>
        <w:rPr>
          <w:rFonts w:ascii="Times New Roman" w:eastAsia="TimesNewRoman,Bold" w:hAnsi="Times New Roman" w:cs="Times New Roman"/>
          <w:bCs/>
          <w:sz w:val="20"/>
          <w:szCs w:val="20"/>
          <w:lang w:eastAsia="ru-RU"/>
        </w:rPr>
      </w:pPr>
      <w:r w:rsidRPr="00E22DDB">
        <w:rPr>
          <w:rFonts w:ascii="Times New Roman" w:eastAsia="TimesNewRoman,Bold" w:hAnsi="Times New Roman" w:cs="Times New Roman"/>
          <w:bCs/>
          <w:sz w:val="20"/>
          <w:szCs w:val="20"/>
          <w:vertAlign w:val="superscript"/>
          <w:lang w:eastAsia="ru-RU"/>
        </w:rPr>
        <w:t>1</w:t>
      </w:r>
      <w:r w:rsidRPr="00E22DDB">
        <w:rPr>
          <w:rFonts w:ascii="Times New Roman" w:eastAsia="TimesNewRoman,Bold" w:hAnsi="Times New Roman" w:cs="Times New Roman"/>
          <w:bCs/>
          <w:sz w:val="20"/>
          <w:szCs w:val="20"/>
          <w:lang w:eastAsia="ru-RU"/>
        </w:rPr>
        <w:t>Коэффициент риска получен на основе стратифицированной модели пропорциональных рисков. Отношение рисков &lt;1 свидетельствует в пользу абиратерона ацетата с преднизолоном.</w:t>
      </w:r>
    </w:p>
    <w:p w14:paraId="30F77195"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1FCD1D60"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bCs/>
          <w:sz w:val="24"/>
          <w:szCs w:val="24"/>
          <w:lang w:eastAsia="ru-RU"/>
        </w:rPr>
        <w:t>Рисунок 2:</w:t>
      </w:r>
      <w:r w:rsidRPr="00E22DDB">
        <w:rPr>
          <w:rFonts w:ascii="Times New Roman" w:eastAsia="TimesNewRoman,Bold" w:hAnsi="Times New Roman" w:cs="Times New Roman"/>
          <w:b/>
          <w:bCs/>
          <w:sz w:val="24"/>
          <w:szCs w:val="24"/>
          <w:lang w:eastAsia="ru-RU"/>
        </w:rPr>
        <w:tab/>
        <w:t xml:space="preserve">График Каплан-Мейера общей выживаемости; </w:t>
      </w:r>
      <w:r w:rsidRPr="00E22DDB">
        <w:rPr>
          <w:rFonts w:ascii="Times New Roman" w:eastAsia="TimesNewRoman,Bold" w:hAnsi="Times New Roman" w:cs="Times New Roman"/>
          <w:b/>
          <w:bCs/>
          <w:sz w:val="24"/>
          <w:szCs w:val="24"/>
          <w:lang w:val="en-US" w:eastAsia="ru-RU"/>
        </w:rPr>
        <w:t>ITT</w:t>
      </w:r>
      <w:r w:rsidRPr="00E22DDB">
        <w:rPr>
          <w:rFonts w:ascii="Times New Roman" w:eastAsia="TimesNewRoman,Bold" w:hAnsi="Times New Roman" w:cs="Times New Roman"/>
          <w:b/>
          <w:bCs/>
          <w:sz w:val="24"/>
          <w:szCs w:val="24"/>
          <w:lang w:eastAsia="ru-RU"/>
        </w:rPr>
        <w:t xml:space="preserve">-популяция (исследование </w:t>
      </w:r>
      <w:r w:rsidRPr="00E22DDB">
        <w:rPr>
          <w:rFonts w:ascii="Times New Roman" w:eastAsia="TimesNewRoman,Bold" w:hAnsi="Times New Roman" w:cs="Times New Roman"/>
          <w:b/>
          <w:bCs/>
          <w:sz w:val="24"/>
          <w:szCs w:val="24"/>
          <w:lang w:val="en-US" w:eastAsia="ru-RU"/>
        </w:rPr>
        <w:t>PCR</w:t>
      </w:r>
      <w:r w:rsidRPr="00E22DDB">
        <w:rPr>
          <w:rFonts w:ascii="Times New Roman" w:eastAsia="TimesNewRoman,Bold" w:hAnsi="Times New Roman" w:cs="Times New Roman"/>
          <w:b/>
          <w:bCs/>
          <w:sz w:val="24"/>
          <w:szCs w:val="24"/>
          <w:lang w:eastAsia="ru-RU"/>
        </w:rPr>
        <w:t>3011)</w:t>
      </w:r>
    </w:p>
    <w:p w14:paraId="305DFDA2" w14:textId="2ABAF816" w:rsidR="009901E9" w:rsidRPr="00E22DDB" w:rsidRDefault="00D45030" w:rsidP="009901E9">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E22DDB">
        <w:rPr>
          <w:rFonts w:ascii="Times New Roman" w:eastAsia="TimesNewRoman,Bold" w:hAnsi="Times New Roman" w:cs="Times New Roman"/>
          <w:bCs/>
          <w:noProof/>
          <w:sz w:val="24"/>
          <w:szCs w:val="24"/>
          <w:lang w:eastAsia="ru-RU"/>
        </w:rPr>
        <w:lastRenderedPageBreak/>
        <w:drawing>
          <wp:inline distT="0" distB="0" distL="0" distR="0" wp14:anchorId="6975CA83" wp14:editId="0F0E17FD">
            <wp:extent cx="5940425" cy="3761740"/>
            <wp:effectExtent l="0" t="0" r="317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3761740"/>
                    </a:xfrm>
                    <a:prstGeom prst="rect">
                      <a:avLst/>
                    </a:prstGeom>
                  </pic:spPr>
                </pic:pic>
              </a:graphicData>
            </a:graphic>
          </wp:inline>
        </w:drawing>
      </w:r>
    </w:p>
    <w:p w14:paraId="20D80C51"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E22DDB">
        <w:rPr>
          <w:rFonts w:ascii="Times New Roman" w:eastAsia="TimesNewRoman,Bold" w:hAnsi="Times New Roman" w:cs="Times New Roman"/>
          <w:bCs/>
          <w:sz w:val="24"/>
          <w:szCs w:val="24"/>
          <w:lang w:eastAsia="ru-RU"/>
        </w:rPr>
        <w:t xml:space="preserve">Анализы подгрупп неизменно деменстрируют преимущества лечения </w:t>
      </w:r>
      <w:r w:rsidR="00714245" w:rsidRPr="00E22DDB">
        <w:rPr>
          <w:rFonts w:ascii="Times New Roman" w:eastAsia="TimesNewRoman,Bold" w:hAnsi="Times New Roman" w:cs="Times New Roman"/>
          <w:bCs/>
          <w:sz w:val="24"/>
          <w:szCs w:val="24"/>
          <w:lang w:eastAsia="ru-RU"/>
        </w:rPr>
        <w:t>абиратероном</w:t>
      </w:r>
      <w:r w:rsidRPr="00E22DDB">
        <w:rPr>
          <w:rFonts w:ascii="Times New Roman" w:eastAsia="TimesNewRoman,Bold" w:hAnsi="Times New Roman" w:cs="Times New Roman"/>
          <w:bCs/>
          <w:sz w:val="24"/>
          <w:szCs w:val="24"/>
          <w:lang w:eastAsia="ru-RU"/>
        </w:rPr>
        <w:t xml:space="preserve">. Эффект лечения </w:t>
      </w:r>
      <w:r w:rsidRPr="00E22DDB">
        <w:rPr>
          <w:rFonts w:ascii="Times New Roman" w:eastAsia="TimesNewRoman,Bold" w:hAnsi="Times New Roman" w:cs="Times New Roman"/>
          <w:bCs/>
          <w:sz w:val="24"/>
          <w:szCs w:val="24"/>
          <w:lang w:val="en-US" w:eastAsia="ru-RU"/>
        </w:rPr>
        <w:t>AA</w:t>
      </w:r>
      <w:r w:rsidRPr="00E22DDB">
        <w:rPr>
          <w:rFonts w:ascii="Times New Roman" w:eastAsia="TimesNewRoman,Bold" w:hAnsi="Times New Roman" w:cs="Times New Roman"/>
          <w:bCs/>
          <w:sz w:val="24"/>
          <w:szCs w:val="24"/>
          <w:lang w:eastAsia="ru-RU"/>
        </w:rPr>
        <w:t>-</w:t>
      </w:r>
      <w:r w:rsidRPr="00E22DDB">
        <w:rPr>
          <w:rFonts w:ascii="Times New Roman" w:eastAsia="TimesNewRoman,Bold" w:hAnsi="Times New Roman" w:cs="Times New Roman"/>
          <w:bCs/>
          <w:sz w:val="24"/>
          <w:szCs w:val="24"/>
          <w:lang w:val="en-US" w:eastAsia="ru-RU"/>
        </w:rPr>
        <w:t>P</w:t>
      </w:r>
      <w:r w:rsidRPr="00E22DDB">
        <w:rPr>
          <w:rFonts w:ascii="Times New Roman" w:eastAsia="TimesNewRoman,Bold" w:hAnsi="Times New Roman" w:cs="Times New Roman"/>
          <w:bCs/>
          <w:sz w:val="24"/>
          <w:szCs w:val="24"/>
          <w:lang w:eastAsia="ru-RU"/>
        </w:rPr>
        <w:t xml:space="preserve"> на </w:t>
      </w:r>
      <w:r w:rsidRPr="00E22DDB">
        <w:rPr>
          <w:rFonts w:ascii="Times New Roman" w:eastAsia="TimesNewRoman,Bold" w:hAnsi="Times New Roman" w:cs="Times New Roman"/>
          <w:bCs/>
          <w:sz w:val="24"/>
          <w:szCs w:val="24"/>
          <w:lang w:val="en-US" w:eastAsia="ru-RU"/>
        </w:rPr>
        <w:t>rPFS</w:t>
      </w:r>
      <w:r w:rsidRPr="00E22DDB">
        <w:rPr>
          <w:rFonts w:ascii="Times New Roman" w:eastAsia="TimesNewRoman,Bold" w:hAnsi="Times New Roman" w:cs="Times New Roman"/>
          <w:bCs/>
          <w:sz w:val="24"/>
          <w:szCs w:val="24"/>
          <w:lang w:eastAsia="ru-RU"/>
        </w:rPr>
        <w:t xml:space="preserve"> и ОС в предварительно определенных подгруппах был благоприятным и соответствовал общей исследуемой популяции, за исключением подгруппы </w:t>
      </w:r>
      <w:r w:rsidRPr="00E22DDB">
        <w:rPr>
          <w:rFonts w:ascii="Times New Roman" w:eastAsia="TimesNewRoman,Bold" w:hAnsi="Times New Roman" w:cs="Times New Roman"/>
          <w:bCs/>
          <w:sz w:val="24"/>
          <w:szCs w:val="24"/>
          <w:lang w:val="en-US" w:eastAsia="ru-RU"/>
        </w:rPr>
        <w:t>ECOG</w:t>
      </w:r>
      <w:r w:rsidRPr="00E22DDB">
        <w:rPr>
          <w:rFonts w:ascii="Times New Roman" w:eastAsia="TimesNewRoman,Bold" w:hAnsi="Times New Roman" w:cs="Times New Roman"/>
          <w:bCs/>
          <w:sz w:val="24"/>
          <w:szCs w:val="24"/>
          <w:lang w:eastAsia="ru-RU"/>
        </w:rPr>
        <w:t>, 2 балла, где не наблюдалось никакой тенденции к преимуществу, однако небольшой размер выборки (</w:t>
      </w:r>
      <w:r w:rsidRPr="00E22DDB">
        <w:rPr>
          <w:rFonts w:ascii="Times New Roman" w:eastAsia="TimesNewRoman,Bold" w:hAnsi="Times New Roman" w:cs="Times New Roman"/>
          <w:bCs/>
          <w:sz w:val="24"/>
          <w:szCs w:val="24"/>
          <w:lang w:val="en-US" w:eastAsia="ru-RU"/>
        </w:rPr>
        <w:t>n</w:t>
      </w:r>
      <w:r w:rsidRPr="00E22DDB">
        <w:rPr>
          <w:rFonts w:ascii="Times New Roman" w:eastAsia="TimesNewRoman,Bold" w:hAnsi="Times New Roman" w:cs="Times New Roman"/>
          <w:bCs/>
          <w:sz w:val="24"/>
          <w:szCs w:val="24"/>
          <w:lang w:eastAsia="ru-RU"/>
        </w:rPr>
        <w:t xml:space="preserve"> = 40) ограничивает возможность делать какие-либо значимые выводы.</w:t>
      </w:r>
    </w:p>
    <w:p w14:paraId="1B5D43F3" w14:textId="0E492CBA"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E22DDB">
        <w:rPr>
          <w:rFonts w:ascii="Times New Roman" w:eastAsia="TimesNewRoman,Bold" w:hAnsi="Times New Roman" w:cs="Times New Roman"/>
          <w:bCs/>
          <w:sz w:val="24"/>
          <w:szCs w:val="24"/>
          <w:lang w:eastAsia="ru-RU"/>
        </w:rPr>
        <w:t>В дополнение к наблюдаемым улучшениям в общей выживаемости и рентгенологического прогрессирования заболевания (</w:t>
      </w:r>
      <w:r w:rsidRPr="00E22DDB">
        <w:rPr>
          <w:rFonts w:ascii="Times New Roman" w:eastAsia="TimesNewRoman,Bold" w:hAnsi="Times New Roman" w:cs="Times New Roman"/>
          <w:bCs/>
          <w:sz w:val="24"/>
          <w:szCs w:val="24"/>
          <w:lang w:val="en-US" w:eastAsia="ru-RU"/>
        </w:rPr>
        <w:t>rPFS</w:t>
      </w:r>
      <w:r w:rsidRPr="00E22DDB">
        <w:rPr>
          <w:rFonts w:ascii="Times New Roman" w:eastAsia="TimesNewRoman,Bold" w:hAnsi="Times New Roman" w:cs="Times New Roman"/>
          <w:bCs/>
          <w:sz w:val="24"/>
          <w:szCs w:val="24"/>
          <w:lang w:eastAsia="ru-RU"/>
        </w:rPr>
        <w:t xml:space="preserve">), была продемонстрирована польза в группе </w:t>
      </w:r>
      <w:r w:rsidR="00714245" w:rsidRPr="00E22DDB">
        <w:rPr>
          <w:rFonts w:ascii="Times New Roman" w:eastAsia="TimesNewRoman,Bold" w:hAnsi="Times New Roman" w:cs="Times New Roman"/>
          <w:bCs/>
          <w:sz w:val="24"/>
          <w:szCs w:val="24"/>
          <w:lang w:eastAsia="ru-RU"/>
        </w:rPr>
        <w:t>абиратерон</w:t>
      </w:r>
      <w:r w:rsidRPr="00E22DDB">
        <w:rPr>
          <w:rFonts w:ascii="Times New Roman" w:eastAsia="TimesNewRoman,Bold" w:hAnsi="Times New Roman" w:cs="Times New Roman"/>
          <w:bCs/>
          <w:sz w:val="24"/>
          <w:szCs w:val="24"/>
          <w:lang w:eastAsia="ru-RU"/>
        </w:rPr>
        <w:t xml:space="preserve"> в сравнении с плацебо во всех проспективных вторичных конечных измерениях</w:t>
      </w:r>
      <w:r w:rsidR="00D45030" w:rsidRPr="00E22DDB">
        <w:rPr>
          <w:rFonts w:ascii="Times New Roman" w:eastAsia="TimesNewRoman,Bold" w:hAnsi="Times New Roman" w:cs="Times New Roman"/>
          <w:bCs/>
          <w:sz w:val="24"/>
          <w:szCs w:val="24"/>
          <w:lang w:eastAsia="ru-RU"/>
        </w:rPr>
        <w:t>.</w:t>
      </w:r>
    </w:p>
    <w:p w14:paraId="45893B1F"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Cs/>
          <w:i/>
          <w:sz w:val="24"/>
          <w:szCs w:val="24"/>
          <w:lang w:eastAsia="ru-RU"/>
        </w:rPr>
      </w:pPr>
      <w:r w:rsidRPr="00E22DDB">
        <w:rPr>
          <w:rFonts w:ascii="Times New Roman" w:eastAsia="TimesNewRoman,Bold" w:hAnsi="Times New Roman" w:cs="Times New Roman"/>
          <w:bCs/>
          <w:i/>
          <w:sz w:val="24"/>
          <w:szCs w:val="24"/>
          <w:lang w:eastAsia="ru-RU"/>
        </w:rPr>
        <w:t>Исследование 302 (пациенты, ранее не получавшие химиотерапию)</w:t>
      </w:r>
    </w:p>
    <w:p w14:paraId="3CADE808"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 это исследование были включены ранее не получавшие химиотерапию пациенты с отсутствием симптомов или с легкой симптоматикой, которым химиотерапия пока не была показана клинически. Балльная оценка наихудшей боли в последние 24 ч часа, равная 0-1 баллу по Краткому опроснику оценки боли (Brief Pain Inventory-Short Form, BPI-SF), рассматривалась как асимптоматичное течение, а балльная оценка, равная 2-3 баллам – как легкая симптоматика. </w:t>
      </w:r>
    </w:p>
    <w:p w14:paraId="76AB5797"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 исследовании 302 (n=1 088) медиана возраста включенных пациентов составляла 71 год для пациентов, пролеченных </w:t>
      </w:r>
      <w:r w:rsidR="00714245"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xml:space="preserve"> в сочетании с преднизоном или преднизолоном, и 70 лет для пациенитов, пролеченных плацебо в сочетании с преднизоном или преднизолоном. Количество па</w:t>
      </w:r>
      <w:r w:rsidR="00714245" w:rsidRPr="00E22DDB">
        <w:rPr>
          <w:rFonts w:ascii="Times New Roman" w:eastAsia="TimesNewRoman" w:hAnsi="Times New Roman" w:cs="Times New Roman"/>
          <w:sz w:val="24"/>
          <w:szCs w:val="24"/>
          <w:lang w:eastAsia="ru-RU"/>
        </w:rPr>
        <w:t>циентов, пролеченных абиратероном</w:t>
      </w:r>
      <w:r w:rsidRPr="00E22DDB">
        <w:rPr>
          <w:rFonts w:ascii="Times New Roman" w:eastAsia="TimesNewRoman" w:hAnsi="Times New Roman" w:cs="Times New Roman"/>
          <w:sz w:val="24"/>
          <w:szCs w:val="24"/>
          <w:lang w:eastAsia="ru-RU"/>
        </w:rPr>
        <w:t xml:space="preserve">, в зависимости от расовой группы составляло 520 лиц европеоидной расы (95.4%), 15 лиц негроидной расы (2.8%), 4 выходца из Азии (0.7%) и 6 лиц других рас (1.1%). Оценка функционального статуса согласно классификации Восточной объединенной онкологической группы (ECOG) была равна 0 у 76% пациентов, и 1 – у 24% пациентов в обеих группах. У пятидесяти процентов пациентов имелись только метастазы в кости, еще 31% пациентов имели метастазы в костях и мягких тканях или в лимфатических узлах, и 19% пациентов имели метастазы только в мягких тканях или в лимфатических узлах. Пациенты с метастазами во внутренних органах были исключены из исследования. Первичными комбинированными конечными точками являлись общая выживаемости и выживаемость без рентгенологического прогрессирования заболевания (rPFS). В дополнение к оценкам </w:t>
      </w:r>
      <w:r w:rsidRPr="00E22DDB">
        <w:rPr>
          <w:rFonts w:ascii="Times New Roman" w:eastAsia="TimesNewRoman" w:hAnsi="Times New Roman" w:cs="Times New Roman"/>
          <w:sz w:val="24"/>
          <w:szCs w:val="24"/>
          <w:lang w:eastAsia="ru-RU"/>
        </w:rPr>
        <w:lastRenderedPageBreak/>
        <w:t>первичной комбинированной конечной точки польза также оценивалась с использованием времени до начала использования опиатов для купирования раковой боли, времени до начала цитотоксической химиотерапии, времени до ухудшения балльной оценки функционального статуса по классификации ECOG ≥ чем на 1 пункт и времени до прогрессирования PSA на основании критериев, предложенных Рабочей группой по раку предстательной железы (Prostate Cancer Working Group-2, PCWG2). Исследуемое лечение прекращалось при явном клиническом прогрессировании. Лечение также могло быть прекращено при подтвержденном рентгенологическом прогрессировании по усмотрению исследователя.</w:t>
      </w:r>
    </w:p>
    <w:p w14:paraId="264C3025"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Выживаемость без рентгенологического прогрессирования оценивалась с использованием последовательных визуализационных исследований, как это определено критериями PCWG2 (для костных повреждений), и по модифицированным Критериям оценки ответа при солидных опухолях (Response Evaluation Criteria In Solid Tumors, RECIST) (для поражений мягких тканей). При анализе rPFS использовалась рентгенологическая оценка прогрессирования с централизованным рассмотрением данных. </w:t>
      </w:r>
    </w:p>
    <w:p w14:paraId="53DFD1AF" w14:textId="4F946FC5"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При запланированном анализе  rPFS было выявлено 401 событие: 150 (28%) пациентов, пролеченных </w:t>
      </w:r>
      <w:r w:rsidR="00B51FC0"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и 251 (46%) пациент, пролеченный плацебо, имели рентгенологические доказательства прогрессирования или умерли. Наблюдалось достоверное различие в rPFS между группами лечения (</w:t>
      </w:r>
      <w:r w:rsidR="002D052B" w:rsidRPr="00E22DDB">
        <w:rPr>
          <w:rFonts w:ascii="Times New Roman" w:eastAsia="TimesNewRoman" w:hAnsi="Times New Roman" w:cs="Times New Roman"/>
          <w:sz w:val="24"/>
          <w:szCs w:val="24"/>
          <w:lang w:eastAsia="ru-RU"/>
        </w:rPr>
        <w:t>см.</w:t>
      </w:r>
      <w:r w:rsidRPr="00E22DDB">
        <w:rPr>
          <w:rFonts w:ascii="Times New Roman" w:eastAsia="TimesNewRoman" w:hAnsi="Times New Roman" w:cs="Times New Roman"/>
          <w:sz w:val="24"/>
          <w:szCs w:val="24"/>
          <w:lang w:eastAsia="ru-RU"/>
        </w:rPr>
        <w:t xml:space="preserve"> Таблицу </w:t>
      </w:r>
      <w:r w:rsidR="002D052B" w:rsidRPr="00E22DDB">
        <w:rPr>
          <w:rFonts w:ascii="Times New Roman" w:eastAsia="TimesNewRoman" w:hAnsi="Times New Roman" w:cs="Times New Roman"/>
          <w:sz w:val="24"/>
          <w:szCs w:val="24"/>
          <w:lang w:eastAsia="ru-RU"/>
        </w:rPr>
        <w:t>4</w:t>
      </w:r>
      <w:r w:rsidRPr="00E22DDB">
        <w:rPr>
          <w:rFonts w:ascii="Times New Roman" w:eastAsia="TimesNewRoman" w:hAnsi="Times New Roman" w:cs="Times New Roman"/>
          <w:sz w:val="24"/>
          <w:szCs w:val="24"/>
          <w:lang w:eastAsia="ru-RU"/>
        </w:rPr>
        <w:t xml:space="preserve"> и Рисунок 3).</w:t>
      </w:r>
    </w:p>
    <w:p w14:paraId="4C7C0309"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4C8D4FA7" w14:textId="6F1E27C2"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bCs/>
          <w:sz w:val="24"/>
          <w:szCs w:val="24"/>
          <w:lang w:eastAsia="ru-RU"/>
        </w:rPr>
        <w:t xml:space="preserve">Таблица </w:t>
      </w:r>
      <w:r w:rsidR="009418E3" w:rsidRPr="00E22DDB">
        <w:rPr>
          <w:rFonts w:ascii="Times New Roman" w:eastAsia="TimesNewRoman,Bold" w:hAnsi="Times New Roman" w:cs="Times New Roman"/>
          <w:b/>
          <w:bCs/>
          <w:sz w:val="24"/>
          <w:szCs w:val="24"/>
          <w:lang w:eastAsia="ru-RU"/>
        </w:rPr>
        <w:t>4</w:t>
      </w:r>
      <w:r w:rsidRPr="00E22DDB">
        <w:rPr>
          <w:rFonts w:ascii="Times New Roman" w:eastAsia="TimesNewRoman,Bold" w:hAnsi="Times New Roman" w:cs="Times New Roman"/>
          <w:b/>
          <w:bCs/>
          <w:sz w:val="24"/>
          <w:szCs w:val="24"/>
          <w:lang w:eastAsia="ru-RU"/>
        </w:rPr>
        <w:t xml:space="preserve">: Исследование 302: Выживаемость без рентгенологического прогрессирования у пациентов, пролеченных препаратом </w:t>
      </w:r>
      <w:r w:rsidR="00B51FC0" w:rsidRPr="00E22DDB">
        <w:rPr>
          <w:rFonts w:ascii="Times New Roman" w:eastAsia="TimesNewRoman,Bold" w:hAnsi="Times New Roman" w:cs="Times New Roman"/>
          <w:b/>
          <w:bCs/>
          <w:sz w:val="24"/>
          <w:szCs w:val="24"/>
          <w:lang w:eastAsia="ru-RU"/>
        </w:rPr>
        <w:t>абиратерон</w:t>
      </w:r>
      <w:r w:rsidRPr="00E22DDB">
        <w:rPr>
          <w:rFonts w:ascii="Times New Roman" w:eastAsia="TimesNewRoman,Bold" w:hAnsi="Times New Roman" w:cs="Times New Roman"/>
          <w:b/>
          <w:bCs/>
          <w:sz w:val="24"/>
          <w:szCs w:val="24"/>
          <w:lang w:eastAsia="ru-RU"/>
        </w:rPr>
        <w:t xml:space="preserve"> или плацебо в комбинации с преднизоном или преднизолоном + аналоги ЛГРГ или предшествующая орхиэктомия.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984"/>
        <w:gridCol w:w="2126"/>
      </w:tblGrid>
      <w:tr w:rsidR="009901E9" w:rsidRPr="00E22DDB" w14:paraId="32EE6431" w14:textId="77777777" w:rsidTr="00714245">
        <w:tc>
          <w:tcPr>
            <w:tcW w:w="4962" w:type="dxa"/>
            <w:shd w:val="clear" w:color="auto" w:fill="auto"/>
          </w:tcPr>
          <w:p w14:paraId="64359C46"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p>
        </w:tc>
        <w:tc>
          <w:tcPr>
            <w:tcW w:w="1984" w:type="dxa"/>
            <w:shd w:val="clear" w:color="auto" w:fill="auto"/>
          </w:tcPr>
          <w:p w14:paraId="77B904C4" w14:textId="77777777" w:rsidR="009901E9" w:rsidRPr="00E22DDB" w:rsidRDefault="00B51FC0" w:rsidP="002D052B">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Абиратерон</w:t>
            </w:r>
          </w:p>
          <w:p w14:paraId="0FF8BD28" w14:textId="77777777" w:rsidR="009901E9" w:rsidRPr="00E22DDB" w:rsidRDefault="009901E9" w:rsidP="002D052B">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Bold" w:hAnsi="Times New Roman" w:cs="Times New Roman"/>
                <w:b/>
                <w:bCs/>
                <w:sz w:val="24"/>
                <w:szCs w:val="24"/>
                <w:lang w:eastAsia="ru-RU"/>
              </w:rPr>
              <w:t>(N=546)</w:t>
            </w:r>
          </w:p>
        </w:tc>
        <w:tc>
          <w:tcPr>
            <w:tcW w:w="2126" w:type="dxa"/>
            <w:shd w:val="clear" w:color="auto" w:fill="auto"/>
          </w:tcPr>
          <w:p w14:paraId="547D5503" w14:textId="77777777" w:rsidR="009901E9" w:rsidRPr="00E22DDB" w:rsidRDefault="009901E9" w:rsidP="002D052B">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Плацебо</w:t>
            </w:r>
          </w:p>
          <w:p w14:paraId="673337BE" w14:textId="77777777" w:rsidR="009901E9" w:rsidRPr="00E22DDB" w:rsidRDefault="009901E9" w:rsidP="002D052B">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Bold" w:hAnsi="Times New Roman" w:cs="Times New Roman"/>
                <w:b/>
                <w:bCs/>
                <w:sz w:val="24"/>
                <w:szCs w:val="24"/>
                <w:lang w:eastAsia="ru-RU"/>
              </w:rPr>
              <w:t>(N=542)</w:t>
            </w:r>
          </w:p>
        </w:tc>
      </w:tr>
      <w:tr w:rsidR="009901E9" w:rsidRPr="00E22DDB" w14:paraId="43AEA29D" w14:textId="77777777" w:rsidTr="00714245">
        <w:tc>
          <w:tcPr>
            <w:tcW w:w="4962" w:type="dxa"/>
            <w:shd w:val="clear" w:color="auto" w:fill="auto"/>
          </w:tcPr>
          <w:p w14:paraId="7E86826A"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 xml:space="preserve">Выживаемость без рентгенологического </w:t>
            </w:r>
          </w:p>
          <w:p w14:paraId="09461BD1"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прогрессирования (rPFS)</w:t>
            </w:r>
          </w:p>
        </w:tc>
        <w:tc>
          <w:tcPr>
            <w:tcW w:w="1984" w:type="dxa"/>
            <w:shd w:val="clear" w:color="auto" w:fill="auto"/>
          </w:tcPr>
          <w:p w14:paraId="61A5C56A"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p>
        </w:tc>
        <w:tc>
          <w:tcPr>
            <w:tcW w:w="2126" w:type="dxa"/>
            <w:shd w:val="clear" w:color="auto" w:fill="auto"/>
          </w:tcPr>
          <w:p w14:paraId="2F935EF5"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p>
        </w:tc>
      </w:tr>
      <w:tr w:rsidR="009901E9" w:rsidRPr="00E22DDB" w14:paraId="36E5576A" w14:textId="77777777" w:rsidTr="00714245">
        <w:tc>
          <w:tcPr>
            <w:tcW w:w="4962" w:type="dxa"/>
            <w:shd w:val="clear" w:color="auto" w:fill="auto"/>
          </w:tcPr>
          <w:p w14:paraId="1DA13110"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Прогрессирование или смерть</w:t>
            </w:r>
          </w:p>
        </w:tc>
        <w:tc>
          <w:tcPr>
            <w:tcW w:w="1984" w:type="dxa"/>
            <w:shd w:val="clear" w:color="auto" w:fill="auto"/>
          </w:tcPr>
          <w:p w14:paraId="4BE3E5FD" w14:textId="77777777" w:rsidR="009901E9" w:rsidRPr="00E22DDB" w:rsidRDefault="009901E9" w:rsidP="002D052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150 (28%)</w:t>
            </w:r>
          </w:p>
        </w:tc>
        <w:tc>
          <w:tcPr>
            <w:tcW w:w="2126" w:type="dxa"/>
            <w:shd w:val="clear" w:color="auto" w:fill="auto"/>
          </w:tcPr>
          <w:p w14:paraId="00FAF713" w14:textId="77777777" w:rsidR="009901E9" w:rsidRPr="00E22DDB" w:rsidRDefault="009901E9" w:rsidP="002D052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251 (46%)</w:t>
            </w:r>
          </w:p>
        </w:tc>
      </w:tr>
      <w:tr w:rsidR="009901E9" w:rsidRPr="00E22DDB" w14:paraId="597E8197" w14:textId="77777777" w:rsidTr="00714245">
        <w:tc>
          <w:tcPr>
            <w:tcW w:w="4962" w:type="dxa"/>
            <w:shd w:val="clear" w:color="auto" w:fill="auto"/>
          </w:tcPr>
          <w:p w14:paraId="17574A3D"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Медиана rPFS в месяцах </w:t>
            </w:r>
          </w:p>
          <w:p w14:paraId="0AC7C51A"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(95% ДИ)</w:t>
            </w:r>
          </w:p>
        </w:tc>
        <w:tc>
          <w:tcPr>
            <w:tcW w:w="1984" w:type="dxa"/>
            <w:shd w:val="clear" w:color="auto" w:fill="auto"/>
          </w:tcPr>
          <w:p w14:paraId="2CE1401A" w14:textId="77777777" w:rsidR="009901E9" w:rsidRPr="00E22DDB" w:rsidRDefault="009901E9" w:rsidP="002D052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Не достигнута</w:t>
            </w:r>
          </w:p>
          <w:p w14:paraId="5864EE20" w14:textId="77777777" w:rsidR="009901E9" w:rsidRPr="00E22DDB" w:rsidRDefault="009901E9" w:rsidP="002D052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(11.66, НО)</w:t>
            </w:r>
          </w:p>
        </w:tc>
        <w:tc>
          <w:tcPr>
            <w:tcW w:w="2126" w:type="dxa"/>
            <w:shd w:val="clear" w:color="auto" w:fill="auto"/>
          </w:tcPr>
          <w:p w14:paraId="331022CF" w14:textId="77777777" w:rsidR="009901E9" w:rsidRPr="00E22DDB" w:rsidRDefault="009901E9" w:rsidP="002D052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8.3</w:t>
            </w:r>
          </w:p>
          <w:p w14:paraId="0D14293B" w14:textId="77777777" w:rsidR="009901E9" w:rsidRPr="00E22DDB" w:rsidRDefault="009901E9" w:rsidP="002D052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(8.12, 8.54)</w:t>
            </w:r>
          </w:p>
        </w:tc>
      </w:tr>
      <w:tr w:rsidR="009901E9" w:rsidRPr="00E22DDB" w14:paraId="10786302" w14:textId="77777777" w:rsidTr="00714245">
        <w:tc>
          <w:tcPr>
            <w:tcW w:w="4962" w:type="dxa"/>
            <w:shd w:val="clear" w:color="auto" w:fill="auto"/>
          </w:tcPr>
          <w:p w14:paraId="653E70CB"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Значение р*</w:t>
            </w:r>
          </w:p>
        </w:tc>
        <w:tc>
          <w:tcPr>
            <w:tcW w:w="4110" w:type="dxa"/>
            <w:gridSpan w:val="2"/>
            <w:shd w:val="clear" w:color="auto" w:fill="auto"/>
          </w:tcPr>
          <w:p w14:paraId="277A0E03" w14:textId="77777777" w:rsidR="009901E9" w:rsidRPr="00E22DDB" w:rsidRDefault="009901E9" w:rsidP="002D052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&lt; 0.0001</w:t>
            </w:r>
          </w:p>
        </w:tc>
      </w:tr>
      <w:tr w:rsidR="009901E9" w:rsidRPr="00E22DDB" w14:paraId="2DD16C1D" w14:textId="77777777" w:rsidTr="00714245">
        <w:tc>
          <w:tcPr>
            <w:tcW w:w="4962" w:type="dxa"/>
            <w:shd w:val="clear" w:color="auto" w:fill="auto"/>
          </w:tcPr>
          <w:p w14:paraId="757AF600"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Отношение рисков**</w:t>
            </w:r>
          </w:p>
          <w:p w14:paraId="093C59A3"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(95% ДИ)</w:t>
            </w:r>
          </w:p>
        </w:tc>
        <w:tc>
          <w:tcPr>
            <w:tcW w:w="4110" w:type="dxa"/>
            <w:gridSpan w:val="2"/>
            <w:shd w:val="clear" w:color="auto" w:fill="auto"/>
          </w:tcPr>
          <w:p w14:paraId="6B476A99" w14:textId="77777777" w:rsidR="009901E9" w:rsidRPr="00E22DDB" w:rsidRDefault="009901E9" w:rsidP="002D052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0.425 (0.347, 0.522)</w:t>
            </w:r>
          </w:p>
        </w:tc>
      </w:tr>
    </w:tbl>
    <w:p w14:paraId="562D6A2D" w14:textId="77777777" w:rsidR="009901E9" w:rsidRPr="00E22DDB"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НО= Не оценено.</w:t>
      </w:r>
    </w:p>
    <w:p w14:paraId="274F31CA" w14:textId="77777777" w:rsidR="009901E9" w:rsidRPr="00E22DDB"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 Значение P получено из логарифмического рангового критерия, стратифицированного в зависимости от исходной балльной оценки по классификации ECOG (0 или 1)</w:t>
      </w:r>
    </w:p>
    <w:p w14:paraId="2435EC60" w14:textId="77777777" w:rsidR="009901E9" w:rsidRPr="00E22DDB"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 Отношение риск</w:t>
      </w:r>
      <w:r w:rsidR="00B51FC0" w:rsidRPr="00E22DDB">
        <w:rPr>
          <w:rFonts w:ascii="Times New Roman" w:eastAsia="TimesNewRoman" w:hAnsi="Times New Roman" w:cs="Times New Roman"/>
          <w:sz w:val="20"/>
          <w:szCs w:val="20"/>
          <w:lang w:eastAsia="ru-RU"/>
        </w:rPr>
        <w:t>ов &lt; 1 в пользу абиратерона</w:t>
      </w:r>
    </w:p>
    <w:p w14:paraId="43B9D81F"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4BA4EE69"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bCs/>
          <w:sz w:val="24"/>
          <w:szCs w:val="24"/>
          <w:lang w:eastAsia="ru-RU"/>
        </w:rPr>
        <w:t>Рисунок 3: Кривые Каплана-Мейера, отражающие выживаемость без рентгенологического прогрессирования у па</w:t>
      </w:r>
      <w:r w:rsidR="00B51FC0" w:rsidRPr="00E22DDB">
        <w:rPr>
          <w:rFonts w:ascii="Times New Roman" w:eastAsia="TimesNewRoman,Bold" w:hAnsi="Times New Roman" w:cs="Times New Roman"/>
          <w:b/>
          <w:bCs/>
          <w:sz w:val="24"/>
          <w:szCs w:val="24"/>
          <w:lang w:eastAsia="ru-RU"/>
        </w:rPr>
        <w:t>циентов, пролеченных абиратероном</w:t>
      </w:r>
      <w:r w:rsidRPr="00E22DDB">
        <w:rPr>
          <w:rFonts w:ascii="Times New Roman" w:eastAsia="TimesNewRoman,Bold" w:hAnsi="Times New Roman" w:cs="Times New Roman"/>
          <w:b/>
          <w:bCs/>
          <w:sz w:val="24"/>
          <w:szCs w:val="24"/>
          <w:lang w:eastAsia="ru-RU"/>
        </w:rPr>
        <w:t xml:space="preserve"> или плацебо в комбинации с преднизоном или преднизолоном + аналоги ЛГРГ или предшествующая орхиэктомия.</w:t>
      </w:r>
    </w:p>
    <w:p w14:paraId="115B011F" w14:textId="7BAAEA69" w:rsidR="009901E9" w:rsidRPr="00E22DDB"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b/>
          <w:noProof/>
          <w:sz w:val="24"/>
          <w:szCs w:val="24"/>
          <w:lang w:eastAsia="ru-RU"/>
        </w:rPr>
        <w:lastRenderedPageBreak/>
        <w:drawing>
          <wp:inline distT="0" distB="0" distL="0" distR="0" wp14:anchorId="1539E070" wp14:editId="66EFB61B">
            <wp:extent cx="5419725" cy="4381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9725" cy="4381500"/>
                    </a:xfrm>
                    <a:prstGeom prst="rect">
                      <a:avLst/>
                    </a:prstGeom>
                    <a:noFill/>
                    <a:ln>
                      <a:noFill/>
                    </a:ln>
                  </pic:spPr>
                </pic:pic>
              </a:graphicData>
            </a:graphic>
          </wp:inline>
        </w:drawing>
      </w:r>
      <w:r w:rsidR="00B51FC0" w:rsidRPr="00E22DDB">
        <w:rPr>
          <w:rFonts w:ascii="Times New Roman" w:eastAsia="TimesNewRoman" w:hAnsi="Times New Roman" w:cs="Times New Roman"/>
          <w:sz w:val="20"/>
          <w:szCs w:val="20"/>
          <w:lang w:eastAsia="ru-RU"/>
        </w:rPr>
        <w:t>АА= Абиратерона ацетат</w:t>
      </w:r>
    </w:p>
    <w:p w14:paraId="6B46C6F8"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p>
    <w:p w14:paraId="154C0797" w14:textId="11215B60"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Однако сбор данных об участниках продолжался до даты второго промежуточного анализа общей выживаемости (ОВ). Осуществленный исследователем рентгенологический обзор rPFS, выполненный как анализ чувствительности в периоде последующего наблюдения, представлен в Таблице </w:t>
      </w:r>
      <w:r w:rsidR="002D052B" w:rsidRPr="00E22DDB">
        <w:rPr>
          <w:rFonts w:ascii="Times New Roman" w:eastAsia="TimesNewRoman" w:hAnsi="Times New Roman" w:cs="Times New Roman"/>
          <w:sz w:val="24"/>
          <w:szCs w:val="24"/>
          <w:lang w:eastAsia="ru-RU"/>
        </w:rPr>
        <w:t>5</w:t>
      </w:r>
      <w:r w:rsidRPr="00E22DDB">
        <w:rPr>
          <w:rFonts w:ascii="Times New Roman" w:eastAsia="TimesNewRoman" w:hAnsi="Times New Roman" w:cs="Times New Roman"/>
          <w:sz w:val="24"/>
          <w:szCs w:val="24"/>
          <w:lang w:eastAsia="ru-RU"/>
        </w:rPr>
        <w:t xml:space="preserve"> и на Рисунке </w:t>
      </w:r>
      <w:r w:rsidR="002D052B" w:rsidRPr="00E22DDB">
        <w:rPr>
          <w:rFonts w:ascii="Times New Roman" w:eastAsia="TimesNewRoman" w:hAnsi="Times New Roman" w:cs="Times New Roman"/>
          <w:sz w:val="24"/>
          <w:szCs w:val="24"/>
          <w:lang w:eastAsia="ru-RU"/>
        </w:rPr>
        <w:t>4</w:t>
      </w:r>
      <w:r w:rsidRPr="00E22DDB">
        <w:rPr>
          <w:rFonts w:ascii="Times New Roman" w:eastAsia="TimesNewRoman" w:hAnsi="Times New Roman" w:cs="Times New Roman"/>
          <w:sz w:val="24"/>
          <w:szCs w:val="24"/>
          <w:lang w:eastAsia="ru-RU"/>
        </w:rPr>
        <w:t xml:space="preserve">. </w:t>
      </w:r>
    </w:p>
    <w:p w14:paraId="20CBEA20"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У шестисот семи (607) участников имели рентгенологическое прогрессирование или умерли: 271 (50%) в группе абиратерона ацетата и 336 (62%) в группе плацебо. Лечение абиратерона ацетатом снижало риск рентгенологического прогрессирования или смерти на 47% по сравнению с плацебо (ОР=0.530; 95% ДИ: 0.451; 0.623; p &lt; 0.0001). Медиана rPFS составляла 16.5 месяцев в группе абиратерона ацетата и 8.3 месяца в группе плацебо.</w:t>
      </w:r>
    </w:p>
    <w:p w14:paraId="49E17EED"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6ACF37DE" w14:textId="7138C381"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bCs/>
          <w:sz w:val="24"/>
          <w:szCs w:val="24"/>
          <w:lang w:eastAsia="ru-RU"/>
        </w:rPr>
        <w:t xml:space="preserve">Таблица </w:t>
      </w:r>
      <w:r w:rsidR="002D052B" w:rsidRPr="00E22DDB">
        <w:rPr>
          <w:rFonts w:ascii="Times New Roman" w:eastAsia="TimesNewRoman,Bold" w:hAnsi="Times New Roman" w:cs="Times New Roman"/>
          <w:b/>
          <w:bCs/>
          <w:sz w:val="24"/>
          <w:szCs w:val="24"/>
          <w:lang w:eastAsia="ru-RU"/>
        </w:rPr>
        <w:t>5</w:t>
      </w:r>
      <w:r w:rsidRPr="00E22DDB">
        <w:rPr>
          <w:rFonts w:ascii="Times New Roman" w:eastAsia="TimesNewRoman,Bold" w:hAnsi="Times New Roman" w:cs="Times New Roman"/>
          <w:b/>
          <w:bCs/>
          <w:sz w:val="24"/>
          <w:szCs w:val="24"/>
          <w:lang w:eastAsia="ru-RU"/>
        </w:rPr>
        <w:t xml:space="preserve">: Исследование 302: Выживаемость без рентгенологического прогрессирования у пациентов, пролеченных </w:t>
      </w:r>
      <w:r w:rsidR="00A73EE6" w:rsidRPr="00E22DDB">
        <w:rPr>
          <w:rFonts w:ascii="Times New Roman" w:eastAsia="TimesNewRoman,Bold" w:hAnsi="Times New Roman" w:cs="Times New Roman"/>
          <w:b/>
          <w:bCs/>
          <w:sz w:val="24"/>
          <w:szCs w:val="24"/>
          <w:lang w:eastAsia="ru-RU"/>
        </w:rPr>
        <w:t>абиратероном</w:t>
      </w:r>
      <w:r w:rsidRPr="00E22DDB">
        <w:rPr>
          <w:rFonts w:ascii="Times New Roman" w:eastAsia="TimesNewRoman,Bold" w:hAnsi="Times New Roman" w:cs="Times New Roman"/>
          <w:b/>
          <w:bCs/>
          <w:sz w:val="24"/>
          <w:szCs w:val="24"/>
          <w:lang w:eastAsia="ru-RU"/>
        </w:rPr>
        <w:t xml:space="preserve"> или плацебо в комбинации с преднизоном или преднизолоном + аналоги ЛГРГ или предшествующая орхиэктомия (при втором промежуточном анализе обзора исследователя ОВ).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409"/>
        <w:gridCol w:w="2381"/>
      </w:tblGrid>
      <w:tr w:rsidR="009901E9" w:rsidRPr="00E22DDB" w14:paraId="368033C5" w14:textId="77777777" w:rsidTr="002D052B">
        <w:tc>
          <w:tcPr>
            <w:tcW w:w="4395" w:type="dxa"/>
            <w:shd w:val="clear" w:color="auto" w:fill="auto"/>
          </w:tcPr>
          <w:p w14:paraId="2A9F1D76"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p>
        </w:tc>
        <w:tc>
          <w:tcPr>
            <w:tcW w:w="2409" w:type="dxa"/>
            <w:shd w:val="clear" w:color="auto" w:fill="auto"/>
          </w:tcPr>
          <w:p w14:paraId="3539FB3B" w14:textId="77777777" w:rsidR="009901E9" w:rsidRPr="00E22DDB" w:rsidRDefault="00A73EE6" w:rsidP="009901E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Абиратерон</w:t>
            </w:r>
          </w:p>
          <w:p w14:paraId="0C67C53A"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Bold" w:hAnsi="Times New Roman" w:cs="Times New Roman"/>
                <w:b/>
                <w:bCs/>
                <w:sz w:val="24"/>
                <w:szCs w:val="24"/>
                <w:lang w:eastAsia="ru-RU"/>
              </w:rPr>
              <w:t>(N=546)</w:t>
            </w:r>
          </w:p>
        </w:tc>
        <w:tc>
          <w:tcPr>
            <w:tcW w:w="2381" w:type="dxa"/>
            <w:shd w:val="clear" w:color="auto" w:fill="auto"/>
          </w:tcPr>
          <w:p w14:paraId="0405FDCB"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Плацебо</w:t>
            </w:r>
          </w:p>
          <w:p w14:paraId="74E5FF4D"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Bold" w:hAnsi="Times New Roman" w:cs="Times New Roman"/>
                <w:b/>
                <w:bCs/>
                <w:sz w:val="24"/>
                <w:szCs w:val="24"/>
                <w:lang w:eastAsia="ru-RU"/>
              </w:rPr>
              <w:t>(N=542)</w:t>
            </w:r>
          </w:p>
        </w:tc>
      </w:tr>
      <w:tr w:rsidR="009901E9" w:rsidRPr="00E22DDB" w14:paraId="5B1D7EBB" w14:textId="77777777" w:rsidTr="002D052B">
        <w:tc>
          <w:tcPr>
            <w:tcW w:w="4395" w:type="dxa"/>
            <w:shd w:val="clear" w:color="auto" w:fill="auto"/>
          </w:tcPr>
          <w:p w14:paraId="6F4EDDB6" w14:textId="77777777" w:rsidR="009901E9" w:rsidRPr="00E22DDB" w:rsidRDefault="009901E9" w:rsidP="002D052B">
            <w:pPr>
              <w:widowControl w:val="0"/>
              <w:autoSpaceDE w:val="0"/>
              <w:autoSpaceDN w:val="0"/>
              <w:adjustRightInd w:val="0"/>
              <w:spacing w:after="0" w:line="240" w:lineRule="auto"/>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 xml:space="preserve">Выживаемость без рентгенологического </w:t>
            </w:r>
          </w:p>
          <w:p w14:paraId="3F9C8475"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прогрессирования (rPFS)</w:t>
            </w:r>
          </w:p>
        </w:tc>
        <w:tc>
          <w:tcPr>
            <w:tcW w:w="2409" w:type="dxa"/>
            <w:shd w:val="clear" w:color="auto" w:fill="auto"/>
          </w:tcPr>
          <w:p w14:paraId="7292415C"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p>
        </w:tc>
        <w:tc>
          <w:tcPr>
            <w:tcW w:w="2381" w:type="dxa"/>
            <w:shd w:val="clear" w:color="auto" w:fill="auto"/>
          </w:tcPr>
          <w:p w14:paraId="6FE263D9"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p>
        </w:tc>
      </w:tr>
      <w:tr w:rsidR="009901E9" w:rsidRPr="00E22DDB" w14:paraId="2FD8CA89" w14:textId="77777777" w:rsidTr="002D052B">
        <w:tc>
          <w:tcPr>
            <w:tcW w:w="4395" w:type="dxa"/>
            <w:shd w:val="clear" w:color="auto" w:fill="auto"/>
          </w:tcPr>
          <w:p w14:paraId="1593B25D"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Прогрессирование или смерть</w:t>
            </w:r>
          </w:p>
        </w:tc>
        <w:tc>
          <w:tcPr>
            <w:tcW w:w="2409" w:type="dxa"/>
            <w:shd w:val="clear" w:color="auto" w:fill="auto"/>
          </w:tcPr>
          <w:p w14:paraId="5E2E58E0"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271 (50%)</w:t>
            </w:r>
          </w:p>
        </w:tc>
        <w:tc>
          <w:tcPr>
            <w:tcW w:w="2381" w:type="dxa"/>
            <w:shd w:val="clear" w:color="auto" w:fill="auto"/>
          </w:tcPr>
          <w:p w14:paraId="331460F8"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336 (62%)</w:t>
            </w:r>
          </w:p>
        </w:tc>
      </w:tr>
      <w:tr w:rsidR="009901E9" w:rsidRPr="00E22DDB" w14:paraId="0DCFA415" w14:textId="77777777" w:rsidTr="002D052B">
        <w:tc>
          <w:tcPr>
            <w:tcW w:w="4395" w:type="dxa"/>
            <w:shd w:val="clear" w:color="auto" w:fill="auto"/>
          </w:tcPr>
          <w:p w14:paraId="2ADEA557"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Медиана rPFS в месяцах </w:t>
            </w:r>
          </w:p>
          <w:p w14:paraId="3A79BD98"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(95% ДИ)</w:t>
            </w:r>
          </w:p>
        </w:tc>
        <w:tc>
          <w:tcPr>
            <w:tcW w:w="2409" w:type="dxa"/>
            <w:shd w:val="clear" w:color="auto" w:fill="auto"/>
          </w:tcPr>
          <w:p w14:paraId="6B6B3287"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16.5</w:t>
            </w:r>
          </w:p>
          <w:p w14:paraId="0A7E5BBC"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(13.80, 16.79)</w:t>
            </w:r>
          </w:p>
        </w:tc>
        <w:tc>
          <w:tcPr>
            <w:tcW w:w="2381" w:type="dxa"/>
            <w:shd w:val="clear" w:color="auto" w:fill="auto"/>
          </w:tcPr>
          <w:p w14:paraId="2C91E3FC"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8.3</w:t>
            </w:r>
          </w:p>
          <w:p w14:paraId="73E40639"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(8.05, 9.43)</w:t>
            </w:r>
          </w:p>
        </w:tc>
      </w:tr>
      <w:tr w:rsidR="009901E9" w:rsidRPr="00E22DDB" w14:paraId="112431AD" w14:textId="77777777" w:rsidTr="002D052B">
        <w:tc>
          <w:tcPr>
            <w:tcW w:w="4395" w:type="dxa"/>
            <w:shd w:val="clear" w:color="auto" w:fill="auto"/>
          </w:tcPr>
          <w:p w14:paraId="71D67857"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р*-значение</w:t>
            </w:r>
          </w:p>
        </w:tc>
        <w:tc>
          <w:tcPr>
            <w:tcW w:w="4790" w:type="dxa"/>
            <w:gridSpan w:val="2"/>
            <w:shd w:val="clear" w:color="auto" w:fill="auto"/>
          </w:tcPr>
          <w:p w14:paraId="4BD3A315"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&lt; 0.0001</w:t>
            </w:r>
          </w:p>
        </w:tc>
      </w:tr>
      <w:tr w:rsidR="009901E9" w:rsidRPr="00E22DDB" w14:paraId="5399370D" w14:textId="77777777" w:rsidTr="002D052B">
        <w:tc>
          <w:tcPr>
            <w:tcW w:w="4395" w:type="dxa"/>
            <w:shd w:val="clear" w:color="auto" w:fill="auto"/>
          </w:tcPr>
          <w:p w14:paraId="3492738B"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Отношение рисков**</w:t>
            </w:r>
          </w:p>
          <w:p w14:paraId="71677016"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(95% ДИ)</w:t>
            </w:r>
          </w:p>
        </w:tc>
        <w:tc>
          <w:tcPr>
            <w:tcW w:w="4790" w:type="dxa"/>
            <w:gridSpan w:val="2"/>
            <w:shd w:val="clear" w:color="auto" w:fill="auto"/>
          </w:tcPr>
          <w:p w14:paraId="2843FEF8"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0.530 (0.451, 0.623)</w:t>
            </w:r>
          </w:p>
        </w:tc>
      </w:tr>
    </w:tbl>
    <w:p w14:paraId="37E1C816" w14:textId="77777777" w:rsidR="009901E9" w:rsidRPr="00E22DDB"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lastRenderedPageBreak/>
        <w:t>* Значение P получено из логарифмического рангового критерия, стратифицированного в зависимости от исходной балльной оценки по классификации ECOG (0 или 1)</w:t>
      </w:r>
    </w:p>
    <w:p w14:paraId="6BC5D014" w14:textId="77777777" w:rsidR="009901E9" w:rsidRPr="00E22DDB"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 xml:space="preserve">** Отношение рисков &lt; 1 в пользу </w:t>
      </w:r>
      <w:r w:rsidR="00A73EE6" w:rsidRPr="00E22DDB">
        <w:rPr>
          <w:rFonts w:ascii="Times New Roman" w:eastAsia="TimesNewRoman" w:hAnsi="Times New Roman" w:cs="Times New Roman"/>
          <w:sz w:val="20"/>
          <w:szCs w:val="20"/>
          <w:lang w:eastAsia="ru-RU"/>
        </w:rPr>
        <w:t>абиратерона</w:t>
      </w:r>
    </w:p>
    <w:p w14:paraId="1ECC722C"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2444D2D6"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bCs/>
          <w:sz w:val="24"/>
          <w:szCs w:val="24"/>
          <w:lang w:eastAsia="ru-RU"/>
        </w:rPr>
        <w:t>Рисунок 4: Кривые Каплана-Мейера, отражающие выживаемость без рентгенологического прогрессирования у па</w:t>
      </w:r>
      <w:r w:rsidR="00A73EE6" w:rsidRPr="00E22DDB">
        <w:rPr>
          <w:rFonts w:ascii="Times New Roman" w:eastAsia="TimesNewRoman,Bold" w:hAnsi="Times New Roman" w:cs="Times New Roman"/>
          <w:b/>
          <w:bCs/>
          <w:sz w:val="24"/>
          <w:szCs w:val="24"/>
          <w:lang w:eastAsia="ru-RU"/>
        </w:rPr>
        <w:t xml:space="preserve">циентов, пролеченных абиратероном </w:t>
      </w:r>
      <w:r w:rsidRPr="00E22DDB">
        <w:rPr>
          <w:rFonts w:ascii="Times New Roman" w:eastAsia="TimesNewRoman,Bold" w:hAnsi="Times New Roman" w:cs="Times New Roman"/>
          <w:b/>
          <w:bCs/>
          <w:sz w:val="24"/>
          <w:szCs w:val="24"/>
          <w:lang w:eastAsia="ru-RU"/>
        </w:rPr>
        <w:t xml:space="preserve">или плацебо в комбинации с преднизоном или преднизолоном + аналоги ЛГРГ или предшествующая орхиэктомия при втором промежуточном анализе обзора исследователя ОВ). </w:t>
      </w:r>
    </w:p>
    <w:p w14:paraId="169B49AA" w14:textId="08930179"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noProof/>
          <w:sz w:val="24"/>
          <w:szCs w:val="24"/>
          <w:lang w:eastAsia="ru-RU"/>
        </w:rPr>
        <w:drawing>
          <wp:inline distT="0" distB="0" distL="0" distR="0" wp14:anchorId="345576DC" wp14:editId="0AAC2805">
            <wp:extent cx="5676900" cy="4257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4257675"/>
                    </a:xfrm>
                    <a:prstGeom prst="rect">
                      <a:avLst/>
                    </a:prstGeom>
                    <a:noFill/>
                    <a:ln>
                      <a:noFill/>
                    </a:ln>
                  </pic:spPr>
                </pic:pic>
              </a:graphicData>
            </a:graphic>
          </wp:inline>
        </w:drawing>
      </w:r>
    </w:p>
    <w:p w14:paraId="5E65C676" w14:textId="77777777" w:rsidR="009901E9" w:rsidRPr="00E22DDB" w:rsidRDefault="00A73EE6" w:rsidP="009901E9">
      <w:pPr>
        <w:widowControl w:val="0"/>
        <w:autoSpaceDE w:val="0"/>
        <w:autoSpaceDN w:val="0"/>
        <w:adjustRightInd w:val="0"/>
        <w:spacing w:after="0" w:line="240" w:lineRule="auto"/>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АА= Абиратерона ацетат</w:t>
      </w:r>
    </w:p>
    <w:p w14:paraId="017B968E"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p>
    <w:p w14:paraId="7D4B7875" w14:textId="628364C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Запланированный анализ общей выживаемости был проведен после 333 наблюдавшихся смертей. </w:t>
      </w:r>
      <w:r w:rsidR="004427E4" w:rsidRPr="00E22DDB">
        <w:rPr>
          <w:rFonts w:ascii="Times New Roman" w:eastAsia="TimesNewRoman" w:hAnsi="Times New Roman" w:cs="Times New Roman"/>
          <w:sz w:val="24"/>
          <w:szCs w:val="24"/>
          <w:lang w:eastAsia="ru-RU"/>
        </w:rPr>
        <w:t xml:space="preserve">Исследование носило неслепой характер на основании наблюдаемой клинической пользы, и пациентам в группе плацебо проходили лечение абиратероном. Общая выживаемость была выше для группы абиратерона, чем для плацебо, со снижением риска смертности на 25% (ОР = 0,752; 95% ДИ: [0,606; 0,934], p = 0,0097), но ОВ не была созревшей, а промежуточные результаты не соответствовали заранее установленной границе остановки статистической значимости (см. Таблицу 4). После этого промежуточного анализа продолжали наблюдать за выживаемостью. </w:t>
      </w:r>
    </w:p>
    <w:p w14:paraId="65BE108A" w14:textId="34C04410" w:rsidR="00933510" w:rsidRPr="00E22DDB" w:rsidRDefault="00933510" w:rsidP="00933510">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Запланированный окончательный анализ ОВ был проведен после того, как был зарегистрирован 741 случай смерти (медиана наблюдения составила 49 месяцев). Шестьдесят пять процентов (354 из 546) пациентов, получавших абиратерон, по сравнению с 71% (387 из 542) пациентов, принимавших плацебо, умерли. Статистически значимое улучшение ОВ в пользу группы, получавшей абиратерон, было продемонстрировано при снижении риска смерти на 19,4% (ОР = 0,806; 95% ДИ: [0,697; 0,931], </w:t>
      </w:r>
      <w:r w:rsidRPr="00E22DDB">
        <w:rPr>
          <w:rFonts w:ascii="Times New Roman" w:eastAsia="TimesNewRoman" w:hAnsi="Times New Roman" w:cs="Times New Roman"/>
          <w:sz w:val="24"/>
          <w:szCs w:val="24"/>
          <w:lang w:val="en-US" w:eastAsia="ru-RU"/>
        </w:rPr>
        <w:t>p</w:t>
      </w:r>
      <w:r w:rsidRPr="00E22DDB">
        <w:rPr>
          <w:rFonts w:ascii="Times New Roman" w:eastAsia="TimesNewRoman" w:hAnsi="Times New Roman" w:cs="Times New Roman"/>
          <w:sz w:val="24"/>
          <w:szCs w:val="24"/>
          <w:lang w:eastAsia="ru-RU"/>
        </w:rPr>
        <w:t xml:space="preserve"> = 0,0033) и улучшении медианы ОВ 4,4 месяца (абиратерон 34,7 месяцев, плацебо 30,3 месяца) (см. Таблицу 6 и Рисунок 5). Это улучшение было продемонстрировано даже несмотря на то, что 44% пациентов в группе плацебо получали абиратерон в качестве последующей </w:t>
      </w:r>
      <w:r w:rsidRPr="00E22DDB">
        <w:rPr>
          <w:rFonts w:ascii="Times New Roman" w:eastAsia="TimesNewRoman" w:hAnsi="Times New Roman" w:cs="Times New Roman"/>
          <w:sz w:val="24"/>
          <w:szCs w:val="24"/>
          <w:lang w:eastAsia="ru-RU"/>
        </w:rPr>
        <w:lastRenderedPageBreak/>
        <w:t>терапии.</w:t>
      </w:r>
    </w:p>
    <w:p w14:paraId="53592D85"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1F3426DA" w14:textId="4D3B9371"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bCs/>
          <w:sz w:val="24"/>
          <w:szCs w:val="24"/>
          <w:lang w:eastAsia="ru-RU"/>
        </w:rPr>
        <w:t xml:space="preserve">Таблица </w:t>
      </w:r>
      <w:r w:rsidR="00933510" w:rsidRPr="00E22DDB">
        <w:rPr>
          <w:rFonts w:ascii="Times New Roman" w:eastAsia="TimesNewRoman,Bold" w:hAnsi="Times New Roman" w:cs="Times New Roman"/>
          <w:b/>
          <w:bCs/>
          <w:sz w:val="24"/>
          <w:szCs w:val="24"/>
          <w:lang w:eastAsia="ru-RU"/>
        </w:rPr>
        <w:t>6</w:t>
      </w:r>
      <w:r w:rsidRPr="00E22DDB">
        <w:rPr>
          <w:rFonts w:ascii="Times New Roman" w:eastAsia="TimesNewRoman,Bold" w:hAnsi="Times New Roman" w:cs="Times New Roman"/>
          <w:b/>
          <w:bCs/>
          <w:sz w:val="24"/>
          <w:szCs w:val="24"/>
          <w:lang w:eastAsia="ru-RU"/>
        </w:rPr>
        <w:t xml:space="preserve">: Исследование 302: Общая выживаемость пациентов, пролеченных </w:t>
      </w:r>
      <w:r w:rsidR="00A73EE6" w:rsidRPr="00E22DDB">
        <w:rPr>
          <w:rFonts w:ascii="Times New Roman" w:eastAsia="TimesNewRoman,Bold" w:hAnsi="Times New Roman" w:cs="Times New Roman"/>
          <w:b/>
          <w:bCs/>
          <w:sz w:val="24"/>
          <w:szCs w:val="24"/>
          <w:lang w:eastAsia="ru-RU"/>
        </w:rPr>
        <w:t>абиратероном</w:t>
      </w:r>
      <w:r w:rsidRPr="00E22DDB">
        <w:rPr>
          <w:rFonts w:ascii="Times New Roman" w:eastAsia="TimesNewRoman,Bold" w:hAnsi="Times New Roman" w:cs="Times New Roman"/>
          <w:b/>
          <w:bCs/>
          <w:sz w:val="24"/>
          <w:szCs w:val="24"/>
          <w:lang w:eastAsia="ru-RU"/>
        </w:rPr>
        <w:t xml:space="preserve"> или плацебо в комбинации с преднизоном или преднизолоном + аналоги ЛГ-РГ или предшествующая орхиэктомия. </w:t>
      </w:r>
    </w:p>
    <w:tbl>
      <w:tblPr>
        <w:tblW w:w="89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2232"/>
        <w:gridCol w:w="1989"/>
      </w:tblGrid>
      <w:tr w:rsidR="009901E9" w:rsidRPr="00E22DDB" w14:paraId="36CBD0E4" w14:textId="77777777" w:rsidTr="00714245">
        <w:trPr>
          <w:trHeight w:val="568"/>
        </w:trPr>
        <w:tc>
          <w:tcPr>
            <w:tcW w:w="4691" w:type="dxa"/>
            <w:shd w:val="clear" w:color="auto" w:fill="auto"/>
          </w:tcPr>
          <w:p w14:paraId="2EC34360"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p>
        </w:tc>
        <w:tc>
          <w:tcPr>
            <w:tcW w:w="0" w:type="auto"/>
            <w:shd w:val="clear" w:color="auto" w:fill="auto"/>
          </w:tcPr>
          <w:p w14:paraId="13FC8CF9" w14:textId="77777777" w:rsidR="009901E9" w:rsidRPr="00E22DDB" w:rsidRDefault="00A73EE6" w:rsidP="009901E9">
            <w:pPr>
              <w:widowControl w:val="0"/>
              <w:autoSpaceDE w:val="0"/>
              <w:autoSpaceDN w:val="0"/>
              <w:adjustRightInd w:val="0"/>
              <w:spacing w:after="0" w:line="240" w:lineRule="auto"/>
              <w:jc w:val="center"/>
              <w:rPr>
                <w:rFonts w:ascii="Times New Roman" w:eastAsia="TimesNewRoman,Bold" w:hAnsi="Times New Roman" w:cs="Times New Roman"/>
                <w:b/>
                <w:bCs/>
                <w:sz w:val="24"/>
                <w:szCs w:val="24"/>
                <w:lang w:eastAsia="ru-RU"/>
              </w:rPr>
            </w:pPr>
            <w:r w:rsidRPr="00E22DDB">
              <w:rPr>
                <w:rFonts w:ascii="Times New Roman" w:eastAsia="TimesNewRoman" w:hAnsi="Times New Roman" w:cs="Times New Roman"/>
                <w:b/>
                <w:sz w:val="24"/>
                <w:szCs w:val="24"/>
                <w:lang w:eastAsia="ru-RU"/>
              </w:rPr>
              <w:t>Абиратерон</w:t>
            </w:r>
            <w:r w:rsidR="009901E9" w:rsidRPr="00E22DDB">
              <w:rPr>
                <w:rFonts w:ascii="Times New Roman" w:eastAsia="TimesNewRoman,Bold" w:hAnsi="Times New Roman" w:cs="Times New Roman"/>
                <w:b/>
                <w:bCs/>
                <w:sz w:val="24"/>
                <w:szCs w:val="24"/>
                <w:lang w:eastAsia="ru-RU"/>
              </w:rPr>
              <w:t xml:space="preserve"> </w:t>
            </w:r>
          </w:p>
          <w:p w14:paraId="5AB8F0CA"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Bold" w:hAnsi="Times New Roman" w:cs="Times New Roman"/>
                <w:b/>
                <w:bCs/>
                <w:sz w:val="24"/>
                <w:szCs w:val="24"/>
                <w:lang w:eastAsia="ru-RU"/>
              </w:rPr>
              <w:t>(N=546)</w:t>
            </w:r>
          </w:p>
        </w:tc>
        <w:tc>
          <w:tcPr>
            <w:tcW w:w="0" w:type="auto"/>
            <w:shd w:val="clear" w:color="auto" w:fill="auto"/>
          </w:tcPr>
          <w:p w14:paraId="03FA6867"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Плацебо</w:t>
            </w:r>
          </w:p>
          <w:p w14:paraId="3883E3ED"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Bold" w:hAnsi="Times New Roman" w:cs="Times New Roman"/>
                <w:b/>
                <w:bCs/>
                <w:sz w:val="24"/>
                <w:szCs w:val="24"/>
                <w:lang w:eastAsia="ru-RU"/>
              </w:rPr>
              <w:t>(N=542)</w:t>
            </w:r>
          </w:p>
        </w:tc>
      </w:tr>
      <w:tr w:rsidR="009901E9" w:rsidRPr="00E22DDB" w14:paraId="52103B3F" w14:textId="77777777" w:rsidTr="00714245">
        <w:trPr>
          <w:trHeight w:val="568"/>
        </w:trPr>
        <w:tc>
          <w:tcPr>
            <w:tcW w:w="4691" w:type="dxa"/>
            <w:shd w:val="clear" w:color="auto" w:fill="auto"/>
          </w:tcPr>
          <w:p w14:paraId="441993D8"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Общая выживаемость</w:t>
            </w:r>
          </w:p>
          <w:p w14:paraId="24499738"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Смерти (%)</w:t>
            </w:r>
          </w:p>
        </w:tc>
        <w:tc>
          <w:tcPr>
            <w:tcW w:w="0" w:type="auto"/>
            <w:shd w:val="clear" w:color="auto" w:fill="auto"/>
          </w:tcPr>
          <w:p w14:paraId="363AF957"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p>
          <w:p w14:paraId="0F7C48B6"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147 (27%)</w:t>
            </w:r>
          </w:p>
        </w:tc>
        <w:tc>
          <w:tcPr>
            <w:tcW w:w="0" w:type="auto"/>
            <w:shd w:val="clear" w:color="auto" w:fill="auto"/>
          </w:tcPr>
          <w:p w14:paraId="2DFE3A3F"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p>
          <w:p w14:paraId="0D0D4B59"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186 (34%)</w:t>
            </w:r>
          </w:p>
        </w:tc>
      </w:tr>
      <w:tr w:rsidR="009901E9" w:rsidRPr="00E22DDB" w14:paraId="1828C44F" w14:textId="77777777" w:rsidTr="00714245">
        <w:trPr>
          <w:trHeight w:val="555"/>
        </w:trPr>
        <w:tc>
          <w:tcPr>
            <w:tcW w:w="4691" w:type="dxa"/>
            <w:shd w:val="clear" w:color="auto" w:fill="auto"/>
          </w:tcPr>
          <w:p w14:paraId="53BDB647"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Медиана выживаемости (месяцы)</w:t>
            </w:r>
          </w:p>
          <w:p w14:paraId="3006AC31"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(95% ДИ)</w:t>
            </w:r>
          </w:p>
        </w:tc>
        <w:tc>
          <w:tcPr>
            <w:tcW w:w="0" w:type="auto"/>
            <w:shd w:val="clear" w:color="auto" w:fill="auto"/>
          </w:tcPr>
          <w:p w14:paraId="0B08AAF2"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Не достигнута</w:t>
            </w:r>
          </w:p>
          <w:p w14:paraId="6692C2E7"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(НО, НО)</w:t>
            </w:r>
          </w:p>
        </w:tc>
        <w:tc>
          <w:tcPr>
            <w:tcW w:w="0" w:type="auto"/>
            <w:shd w:val="clear" w:color="auto" w:fill="auto"/>
          </w:tcPr>
          <w:p w14:paraId="274C1294"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27.2</w:t>
            </w:r>
          </w:p>
          <w:p w14:paraId="2C717881"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(25.95, НО)</w:t>
            </w:r>
          </w:p>
        </w:tc>
      </w:tr>
      <w:tr w:rsidR="009901E9" w:rsidRPr="00E22DDB" w14:paraId="7707B6B3" w14:textId="77777777" w:rsidTr="00714245">
        <w:trPr>
          <w:trHeight w:val="283"/>
        </w:trPr>
        <w:tc>
          <w:tcPr>
            <w:tcW w:w="4691" w:type="dxa"/>
            <w:shd w:val="clear" w:color="auto" w:fill="auto"/>
          </w:tcPr>
          <w:p w14:paraId="6EFFBD33"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Значение р*</w:t>
            </w:r>
          </w:p>
        </w:tc>
        <w:tc>
          <w:tcPr>
            <w:tcW w:w="0" w:type="auto"/>
            <w:gridSpan w:val="2"/>
            <w:shd w:val="clear" w:color="auto" w:fill="auto"/>
          </w:tcPr>
          <w:p w14:paraId="640A37B3"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0.0097</w:t>
            </w:r>
          </w:p>
        </w:tc>
      </w:tr>
      <w:tr w:rsidR="009901E9" w:rsidRPr="00E22DDB" w14:paraId="7578FB28" w14:textId="77777777" w:rsidTr="00714245">
        <w:trPr>
          <w:trHeight w:val="385"/>
        </w:trPr>
        <w:tc>
          <w:tcPr>
            <w:tcW w:w="4691" w:type="dxa"/>
            <w:shd w:val="clear" w:color="auto" w:fill="auto"/>
          </w:tcPr>
          <w:p w14:paraId="7DF8E7B6"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Отношение рисков** (95% ДИ)</w:t>
            </w:r>
          </w:p>
        </w:tc>
        <w:tc>
          <w:tcPr>
            <w:tcW w:w="0" w:type="auto"/>
            <w:gridSpan w:val="2"/>
            <w:shd w:val="clear" w:color="auto" w:fill="auto"/>
          </w:tcPr>
          <w:p w14:paraId="50DE2687"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0.752 (0.606, 0.934)</w:t>
            </w:r>
          </w:p>
        </w:tc>
      </w:tr>
      <w:tr w:rsidR="009901E9" w:rsidRPr="00E22DDB" w14:paraId="24854653" w14:textId="77777777" w:rsidTr="00714245">
        <w:trPr>
          <w:trHeight w:val="568"/>
        </w:trPr>
        <w:tc>
          <w:tcPr>
            <w:tcW w:w="4691" w:type="dxa"/>
            <w:shd w:val="clear" w:color="auto" w:fill="auto"/>
          </w:tcPr>
          <w:p w14:paraId="3D481FDF"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Общая выживаемость</w:t>
            </w:r>
          </w:p>
          <w:p w14:paraId="12FB8F0C"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Смерти (%)</w:t>
            </w:r>
          </w:p>
        </w:tc>
        <w:tc>
          <w:tcPr>
            <w:tcW w:w="2232" w:type="dxa"/>
            <w:shd w:val="clear" w:color="auto" w:fill="auto"/>
          </w:tcPr>
          <w:p w14:paraId="57AB7B73"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354 (65 %)</w:t>
            </w:r>
          </w:p>
        </w:tc>
        <w:tc>
          <w:tcPr>
            <w:tcW w:w="1989" w:type="dxa"/>
            <w:shd w:val="clear" w:color="auto" w:fill="auto"/>
          </w:tcPr>
          <w:p w14:paraId="68ABDE8A"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387 (71 %)</w:t>
            </w:r>
          </w:p>
        </w:tc>
      </w:tr>
      <w:tr w:rsidR="007E7E80" w:rsidRPr="00E22DDB" w14:paraId="23EBF45E" w14:textId="77777777" w:rsidTr="00714245">
        <w:trPr>
          <w:trHeight w:val="568"/>
        </w:trPr>
        <w:tc>
          <w:tcPr>
            <w:tcW w:w="4691" w:type="dxa"/>
            <w:shd w:val="clear" w:color="auto" w:fill="auto"/>
          </w:tcPr>
          <w:p w14:paraId="2A8BA617" w14:textId="76992ABA" w:rsidR="007E7E80" w:rsidRPr="00E22DDB" w:rsidRDefault="007E7E80" w:rsidP="009901E9">
            <w:pPr>
              <w:widowControl w:val="0"/>
              <w:autoSpaceDE w:val="0"/>
              <w:autoSpaceDN w:val="0"/>
              <w:adjustRightInd w:val="0"/>
              <w:spacing w:after="0" w:line="240" w:lineRule="auto"/>
              <w:jc w:val="both"/>
              <w:rPr>
                <w:rFonts w:ascii="Times New Roman" w:eastAsia="TimesNewRoman" w:hAnsi="Times New Roman" w:cs="Times New Roman"/>
                <w:bCs/>
                <w:sz w:val="24"/>
                <w:szCs w:val="24"/>
                <w:lang w:eastAsia="ru-RU"/>
              </w:rPr>
            </w:pPr>
            <w:r w:rsidRPr="00E22DDB">
              <w:rPr>
                <w:rFonts w:ascii="Times New Roman" w:eastAsia="TimesNewRoman" w:hAnsi="Times New Roman" w:cs="Times New Roman"/>
                <w:bCs/>
                <w:sz w:val="24"/>
                <w:szCs w:val="24"/>
                <w:lang w:eastAsia="ru-RU"/>
              </w:rPr>
              <w:t>Медиана общей выживаемости в месяцах (95% ДИ)</w:t>
            </w:r>
          </w:p>
        </w:tc>
        <w:tc>
          <w:tcPr>
            <w:tcW w:w="2232" w:type="dxa"/>
            <w:shd w:val="clear" w:color="auto" w:fill="auto"/>
          </w:tcPr>
          <w:p w14:paraId="4A6F95EC" w14:textId="15AC6B18" w:rsidR="007E7E80" w:rsidRPr="00E22DDB" w:rsidRDefault="007E7E80"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E22DDB">
              <w:rPr>
                <w:rFonts w:ascii="Times New Roman" w:eastAsia="TimesNewRoman" w:hAnsi="Times New Roman" w:cs="Times New Roman"/>
                <w:sz w:val="24"/>
                <w:szCs w:val="24"/>
                <w:lang w:eastAsia="ru-RU"/>
              </w:rPr>
              <w:t>34.7 (32.7; 36.8)</w:t>
            </w:r>
          </w:p>
        </w:tc>
        <w:tc>
          <w:tcPr>
            <w:tcW w:w="1989" w:type="dxa"/>
            <w:shd w:val="clear" w:color="auto" w:fill="auto"/>
          </w:tcPr>
          <w:p w14:paraId="35D76935" w14:textId="7484490B" w:rsidR="007E7E80" w:rsidRPr="00E22DDB" w:rsidRDefault="007E7E80"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30.3 (28.7; 33.3)</w:t>
            </w:r>
          </w:p>
        </w:tc>
      </w:tr>
      <w:tr w:rsidR="007E7E80" w:rsidRPr="00E22DDB" w14:paraId="35DFC7FE" w14:textId="77777777" w:rsidTr="00A74693">
        <w:trPr>
          <w:trHeight w:val="215"/>
        </w:trPr>
        <w:tc>
          <w:tcPr>
            <w:tcW w:w="4691" w:type="dxa"/>
            <w:shd w:val="clear" w:color="auto" w:fill="auto"/>
          </w:tcPr>
          <w:p w14:paraId="2A5CEE53" w14:textId="31ED42EA" w:rsidR="007E7E80" w:rsidRPr="00E22DDB" w:rsidRDefault="007E7E80" w:rsidP="009901E9">
            <w:pPr>
              <w:widowControl w:val="0"/>
              <w:autoSpaceDE w:val="0"/>
              <w:autoSpaceDN w:val="0"/>
              <w:adjustRightInd w:val="0"/>
              <w:spacing w:after="0" w:line="240" w:lineRule="auto"/>
              <w:jc w:val="both"/>
              <w:rPr>
                <w:rFonts w:ascii="Times New Roman" w:eastAsia="TimesNewRoman" w:hAnsi="Times New Roman" w:cs="Times New Roman"/>
                <w:bCs/>
                <w:sz w:val="24"/>
                <w:szCs w:val="24"/>
                <w:lang w:eastAsia="ru-RU"/>
              </w:rPr>
            </w:pPr>
            <w:r w:rsidRPr="00E22DDB">
              <w:rPr>
                <w:rFonts w:ascii="Times New Roman" w:eastAsia="TimesNewRoman" w:hAnsi="Times New Roman" w:cs="Times New Roman"/>
                <w:bCs/>
                <w:sz w:val="24"/>
                <w:szCs w:val="24"/>
                <w:lang w:eastAsia="ru-RU"/>
              </w:rPr>
              <w:t>Значение р*</w:t>
            </w:r>
          </w:p>
        </w:tc>
        <w:tc>
          <w:tcPr>
            <w:tcW w:w="4221" w:type="dxa"/>
            <w:gridSpan w:val="2"/>
            <w:shd w:val="clear" w:color="auto" w:fill="auto"/>
          </w:tcPr>
          <w:p w14:paraId="2507C365" w14:textId="73831D5D" w:rsidR="007E7E80" w:rsidRPr="00E22DDB" w:rsidRDefault="007E7E80"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0.0033</w:t>
            </w:r>
          </w:p>
        </w:tc>
      </w:tr>
      <w:tr w:rsidR="007E7E80" w:rsidRPr="00E22DDB" w14:paraId="2A6BE34C" w14:textId="77777777" w:rsidTr="00C605A4">
        <w:trPr>
          <w:trHeight w:val="348"/>
        </w:trPr>
        <w:tc>
          <w:tcPr>
            <w:tcW w:w="4691" w:type="dxa"/>
            <w:shd w:val="clear" w:color="auto" w:fill="auto"/>
          </w:tcPr>
          <w:p w14:paraId="226A29E8" w14:textId="280DB369" w:rsidR="007E7E80" w:rsidRPr="00E22DDB" w:rsidRDefault="007E7E80" w:rsidP="009901E9">
            <w:pPr>
              <w:widowControl w:val="0"/>
              <w:autoSpaceDE w:val="0"/>
              <w:autoSpaceDN w:val="0"/>
              <w:adjustRightInd w:val="0"/>
              <w:spacing w:after="0" w:line="240" w:lineRule="auto"/>
              <w:jc w:val="both"/>
              <w:rPr>
                <w:rFonts w:ascii="Times New Roman" w:eastAsia="TimesNewRoman" w:hAnsi="Times New Roman" w:cs="Times New Roman"/>
                <w:bCs/>
                <w:sz w:val="24"/>
                <w:szCs w:val="24"/>
                <w:lang w:eastAsia="ru-RU"/>
              </w:rPr>
            </w:pPr>
            <w:r w:rsidRPr="00E22DDB">
              <w:rPr>
                <w:rFonts w:ascii="Times New Roman" w:eastAsia="TimesNewRoman" w:hAnsi="Times New Roman" w:cs="Times New Roman"/>
                <w:bCs/>
                <w:sz w:val="24"/>
                <w:szCs w:val="24"/>
                <w:lang w:eastAsia="ru-RU"/>
              </w:rPr>
              <w:t>Отношение рисков** (95% ДИ)</w:t>
            </w:r>
          </w:p>
        </w:tc>
        <w:tc>
          <w:tcPr>
            <w:tcW w:w="4221" w:type="dxa"/>
            <w:gridSpan w:val="2"/>
            <w:shd w:val="clear" w:color="auto" w:fill="auto"/>
          </w:tcPr>
          <w:p w14:paraId="05BC789D" w14:textId="00D93D42" w:rsidR="007E7E80" w:rsidRPr="00E22DDB" w:rsidRDefault="007E7E80"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0.806 (0.697; 0.931)</w:t>
            </w:r>
          </w:p>
        </w:tc>
      </w:tr>
    </w:tbl>
    <w:p w14:paraId="27E7B11A" w14:textId="77777777" w:rsidR="009901E9" w:rsidRPr="00E22DDB"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НО= Не оценено.</w:t>
      </w:r>
    </w:p>
    <w:p w14:paraId="7E81E8D7" w14:textId="77777777" w:rsidR="009901E9" w:rsidRPr="00E22DDB"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 Значение P получено из логарифмического рангового критерия, стратифицированного в зависимости от исходной балльной оценки по классификации ECOG (0 или 1)</w:t>
      </w:r>
    </w:p>
    <w:p w14:paraId="58CE7B5C" w14:textId="77777777" w:rsidR="009901E9" w:rsidRPr="00E22DDB"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 Отношение рисков &lt; 1 в пользу</w:t>
      </w:r>
      <w:r w:rsidR="00A73EE6" w:rsidRPr="00E22DDB">
        <w:rPr>
          <w:rFonts w:ascii="Times New Roman" w:eastAsia="TimesNewRoman" w:hAnsi="Times New Roman" w:cs="Times New Roman"/>
          <w:sz w:val="20"/>
          <w:szCs w:val="20"/>
          <w:lang w:eastAsia="ru-RU"/>
        </w:rPr>
        <w:t xml:space="preserve"> абиратерона</w:t>
      </w:r>
    </w:p>
    <w:p w14:paraId="045F70FC"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5C7E30FD" w14:textId="688BA89C"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bCs/>
          <w:sz w:val="24"/>
          <w:szCs w:val="24"/>
          <w:lang w:eastAsia="ru-RU"/>
        </w:rPr>
        <w:t xml:space="preserve">Рисунок 5: Кривые Каплана-Мейера, отражающие выживаемость пациентов, пролеченных </w:t>
      </w:r>
      <w:r w:rsidR="00A73EE6" w:rsidRPr="00E22DDB">
        <w:rPr>
          <w:rFonts w:ascii="Times New Roman" w:eastAsia="TimesNewRoman,Bold" w:hAnsi="Times New Roman" w:cs="Times New Roman"/>
          <w:b/>
          <w:bCs/>
          <w:sz w:val="24"/>
          <w:szCs w:val="24"/>
          <w:lang w:eastAsia="ru-RU"/>
        </w:rPr>
        <w:t>абиратероном</w:t>
      </w:r>
      <w:r w:rsidRPr="00E22DDB">
        <w:rPr>
          <w:rFonts w:ascii="Times New Roman" w:eastAsia="TimesNewRoman,Bold" w:hAnsi="Times New Roman" w:cs="Times New Roman"/>
          <w:b/>
          <w:bCs/>
          <w:sz w:val="24"/>
          <w:szCs w:val="24"/>
          <w:lang w:eastAsia="ru-RU"/>
        </w:rPr>
        <w:t xml:space="preserve"> или плацебо в комбинации с преднизоном или преднизолоном + аналоги ЛГРГ или предшествующая орхиэктомия</w:t>
      </w:r>
      <w:r w:rsidR="0097196F" w:rsidRPr="00E22DDB">
        <w:rPr>
          <w:rFonts w:ascii="Times New Roman" w:eastAsia="TimesNewRoman,Bold" w:hAnsi="Times New Roman" w:cs="Times New Roman"/>
          <w:b/>
          <w:bCs/>
          <w:sz w:val="24"/>
          <w:szCs w:val="24"/>
          <w:lang w:eastAsia="ru-RU"/>
        </w:rPr>
        <w:t>, конечный анализ</w:t>
      </w:r>
    </w:p>
    <w:p w14:paraId="3EC3CF83" w14:textId="79938F39" w:rsidR="0097196F" w:rsidRPr="00E22DDB" w:rsidRDefault="0097196F" w:rsidP="009901E9">
      <w:pPr>
        <w:widowControl w:val="0"/>
        <w:autoSpaceDE w:val="0"/>
        <w:autoSpaceDN w:val="0"/>
        <w:adjustRightInd w:val="0"/>
        <w:spacing w:after="0" w:line="240" w:lineRule="auto"/>
        <w:jc w:val="both"/>
        <w:rPr>
          <w:rFonts w:ascii="Times New Roman" w:eastAsia="TimesNewRoman,Bold" w:hAnsi="Times New Roman" w:cs="Times New Roman"/>
          <w:b/>
          <w:noProof/>
          <w:sz w:val="24"/>
          <w:szCs w:val="24"/>
          <w:lang w:eastAsia="ru-RU"/>
        </w:rPr>
      </w:pPr>
      <w:r w:rsidRPr="00E22DDB">
        <w:rPr>
          <w:rFonts w:ascii="Times New Roman" w:eastAsia="TimesNewRoman,Bold" w:hAnsi="Times New Roman" w:cs="Times New Roman"/>
          <w:b/>
          <w:noProof/>
          <w:sz w:val="24"/>
          <w:szCs w:val="24"/>
          <w:lang w:eastAsia="ru-RU"/>
        </w:rPr>
        <w:drawing>
          <wp:inline distT="0" distB="0" distL="0" distR="0" wp14:anchorId="6EC5CBE9" wp14:editId="79EE18A5">
            <wp:extent cx="5940425" cy="4184015"/>
            <wp:effectExtent l="0" t="0" r="3175" b="698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184015"/>
                    </a:xfrm>
                    <a:prstGeom prst="rect">
                      <a:avLst/>
                    </a:prstGeom>
                  </pic:spPr>
                </pic:pic>
              </a:graphicData>
            </a:graphic>
          </wp:inline>
        </w:drawing>
      </w:r>
    </w:p>
    <w:p w14:paraId="1DBFA20C" w14:textId="77777777" w:rsidR="009901E9" w:rsidRPr="00E22DDB"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 xml:space="preserve">АА= </w:t>
      </w:r>
      <w:r w:rsidR="00A73EE6" w:rsidRPr="00E22DDB">
        <w:rPr>
          <w:rFonts w:ascii="Times New Roman" w:eastAsia="TimesNewRoman" w:hAnsi="Times New Roman" w:cs="Times New Roman"/>
          <w:sz w:val="20"/>
          <w:szCs w:val="20"/>
          <w:lang w:eastAsia="ru-RU"/>
        </w:rPr>
        <w:t>Абиратерона ацетат</w:t>
      </w:r>
    </w:p>
    <w:p w14:paraId="5BB859D5"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p>
    <w:p w14:paraId="4A5B386A"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 дополнение к наблюдавшемуся улучшению общей выживаемости и rPFS, было продемонстрировано преимущество лечения </w:t>
      </w:r>
      <w:r w:rsidR="00A73EE6"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xml:space="preserve"> по сравнению с плацебо по критериям оценки всех вторичных конечных точек, указанных ниже:</w:t>
      </w:r>
    </w:p>
    <w:p w14:paraId="289013E6"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Время до прогрессирования PSA на основании критериев PCWG2: медиана времени до прогрессирования PSA составляла 11.1 месяцев для пациентов, получавших </w:t>
      </w:r>
      <w:r w:rsidR="00A73EE6" w:rsidRPr="00E22DDB">
        <w:rPr>
          <w:rFonts w:ascii="Times New Roman" w:eastAsia="TimesNewRoman" w:hAnsi="Times New Roman" w:cs="Times New Roman"/>
          <w:sz w:val="24"/>
          <w:szCs w:val="24"/>
          <w:lang w:eastAsia="ru-RU"/>
        </w:rPr>
        <w:t>абиратерон</w:t>
      </w:r>
      <w:r w:rsidRPr="00E22DDB">
        <w:rPr>
          <w:rFonts w:ascii="Times New Roman" w:eastAsia="TimesNewRoman" w:hAnsi="Times New Roman" w:cs="Times New Roman"/>
          <w:sz w:val="24"/>
          <w:szCs w:val="24"/>
          <w:lang w:eastAsia="ru-RU"/>
        </w:rPr>
        <w:t xml:space="preserve">, и 5.6 месяцев для пациентов, получавших плацебо (ОР=0.488; 95% ДИ: [0.420, 0.568], p &lt; 0.0001). Время до прогрессирования PSA увеличилось примерно в два раза при лечении препаратом </w:t>
      </w:r>
      <w:r w:rsidR="00A73EE6" w:rsidRPr="00E22DDB">
        <w:rPr>
          <w:rFonts w:ascii="Times New Roman" w:eastAsia="TimesNewRoman" w:hAnsi="Times New Roman" w:cs="Times New Roman"/>
          <w:sz w:val="24"/>
          <w:szCs w:val="24"/>
          <w:lang w:eastAsia="ru-RU"/>
        </w:rPr>
        <w:t>абиратерон</w:t>
      </w:r>
      <w:r w:rsidRPr="00E22DDB">
        <w:rPr>
          <w:rFonts w:ascii="Times New Roman" w:eastAsia="TimesNewRoman" w:hAnsi="Times New Roman" w:cs="Times New Roman"/>
          <w:sz w:val="24"/>
          <w:szCs w:val="24"/>
          <w:lang w:eastAsia="ru-RU"/>
        </w:rPr>
        <w:t xml:space="preserve"> (ОР=0.488). Количество лиц с подтвержденным ответом со стороны PSA было больше в группе </w:t>
      </w:r>
      <w:r w:rsidR="00A73EE6" w:rsidRPr="00E22DDB">
        <w:rPr>
          <w:rFonts w:ascii="Times New Roman" w:eastAsia="TimesNewRoman" w:hAnsi="Times New Roman" w:cs="Times New Roman"/>
          <w:sz w:val="24"/>
          <w:szCs w:val="24"/>
          <w:lang w:eastAsia="ru-RU"/>
        </w:rPr>
        <w:t>абиратерона</w:t>
      </w:r>
      <w:r w:rsidRPr="00E22DDB">
        <w:rPr>
          <w:rFonts w:ascii="Times New Roman" w:eastAsia="TimesNewRoman" w:hAnsi="Times New Roman" w:cs="Times New Roman"/>
          <w:sz w:val="24"/>
          <w:szCs w:val="24"/>
          <w:lang w:eastAsia="ru-RU"/>
        </w:rPr>
        <w:t xml:space="preserve">, чем в группе плацебо (62% в сравнении с 24%; p &lt; 0.0001). У лиц с поддающимся оценке поражением мягких тканей на фоне лечения </w:t>
      </w:r>
      <w:r w:rsidR="00A73EE6"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xml:space="preserve"> наблюдалось достоверно увеличившееся количество полных и частичных ремиссий опухоли. </w:t>
      </w:r>
    </w:p>
    <w:p w14:paraId="3A582CC8" w14:textId="2D9F432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Время до использования опиатов для купирования раковой боли: медиана времени до использования опиатов для купирования боли, связанной с раком предстательной железы, не была достигнута </w:t>
      </w:r>
      <w:r w:rsidR="00A73EE6" w:rsidRPr="00E22DDB">
        <w:rPr>
          <w:rFonts w:ascii="Times New Roman" w:eastAsia="TimesNewRoman" w:hAnsi="Times New Roman" w:cs="Times New Roman"/>
          <w:sz w:val="24"/>
          <w:szCs w:val="24"/>
          <w:lang w:eastAsia="ru-RU"/>
        </w:rPr>
        <w:t>у пациентов, получавших абиратерон</w:t>
      </w:r>
      <w:r w:rsidRPr="00E22DDB">
        <w:rPr>
          <w:rFonts w:ascii="Times New Roman" w:eastAsia="TimesNewRoman" w:hAnsi="Times New Roman" w:cs="Times New Roman"/>
          <w:sz w:val="24"/>
          <w:szCs w:val="24"/>
          <w:lang w:eastAsia="ru-RU"/>
        </w:rPr>
        <w:t>, и составила 23.</w:t>
      </w:r>
      <w:r w:rsidR="0097196F" w:rsidRPr="00E22DDB">
        <w:rPr>
          <w:rFonts w:ascii="Times New Roman" w:eastAsia="TimesNewRoman" w:hAnsi="Times New Roman" w:cs="Times New Roman"/>
          <w:sz w:val="24"/>
          <w:szCs w:val="24"/>
          <w:lang w:eastAsia="ru-RU"/>
        </w:rPr>
        <w:t>4</w:t>
      </w:r>
      <w:r w:rsidRPr="00E22DDB">
        <w:rPr>
          <w:rFonts w:ascii="Times New Roman" w:eastAsia="TimesNewRoman" w:hAnsi="Times New Roman" w:cs="Times New Roman"/>
          <w:sz w:val="24"/>
          <w:szCs w:val="24"/>
          <w:lang w:eastAsia="ru-RU"/>
        </w:rPr>
        <w:t xml:space="preserve"> месяцев у пациентов, получавших плацебо (ОР=</w:t>
      </w:r>
      <w:r w:rsidR="0097196F" w:rsidRPr="00E22DDB">
        <w:rPr>
          <w:rFonts w:ascii="Times New Roman" w:eastAsia="TimesNewRoman" w:hAnsi="Times New Roman" w:cs="Times New Roman"/>
          <w:sz w:val="24"/>
          <w:szCs w:val="24"/>
          <w:lang w:eastAsia="ru-RU"/>
        </w:rPr>
        <w:t xml:space="preserve">0.721; </w:t>
      </w:r>
      <w:r w:rsidRPr="00E22DDB">
        <w:rPr>
          <w:rFonts w:ascii="Times New Roman" w:eastAsia="TimesNewRoman" w:hAnsi="Times New Roman" w:cs="Times New Roman"/>
          <w:sz w:val="24"/>
          <w:szCs w:val="24"/>
          <w:lang w:eastAsia="ru-RU"/>
        </w:rPr>
        <w:t>95% ДИ: [0.</w:t>
      </w:r>
      <w:r w:rsidR="0097196F" w:rsidRPr="00E22DDB">
        <w:rPr>
          <w:rFonts w:ascii="Times New Roman" w:eastAsia="TimesNewRoman" w:hAnsi="Times New Roman" w:cs="Times New Roman"/>
          <w:sz w:val="24"/>
          <w:szCs w:val="24"/>
          <w:lang w:eastAsia="ru-RU"/>
        </w:rPr>
        <w:t>614</w:t>
      </w:r>
      <w:r w:rsidRPr="00E22DDB">
        <w:rPr>
          <w:rFonts w:ascii="Times New Roman" w:eastAsia="TimesNewRoman" w:hAnsi="Times New Roman" w:cs="Times New Roman"/>
          <w:sz w:val="24"/>
          <w:szCs w:val="24"/>
          <w:lang w:eastAsia="ru-RU"/>
        </w:rPr>
        <w:t>, 0.8</w:t>
      </w:r>
      <w:r w:rsidR="0097196F" w:rsidRPr="00E22DDB">
        <w:rPr>
          <w:rFonts w:ascii="Times New Roman" w:eastAsia="TimesNewRoman" w:hAnsi="Times New Roman" w:cs="Times New Roman"/>
          <w:sz w:val="24"/>
          <w:szCs w:val="24"/>
          <w:lang w:eastAsia="ru-RU"/>
        </w:rPr>
        <w:t>46</w:t>
      </w:r>
      <w:r w:rsidRPr="00E22DDB">
        <w:rPr>
          <w:rFonts w:ascii="Times New Roman" w:eastAsia="TimesNewRoman" w:hAnsi="Times New Roman" w:cs="Times New Roman"/>
          <w:sz w:val="24"/>
          <w:szCs w:val="24"/>
          <w:lang w:eastAsia="ru-RU"/>
        </w:rPr>
        <w:t>], p=0.0001).</w:t>
      </w:r>
    </w:p>
    <w:p w14:paraId="63BAC068"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Время до начала цитотоксической химиотерапии: медиана времени до начала цитотоксической терапии составила 25.2 месяцев </w:t>
      </w:r>
      <w:r w:rsidR="00A73EE6" w:rsidRPr="00E22DDB">
        <w:rPr>
          <w:rFonts w:ascii="Times New Roman" w:eastAsia="TimesNewRoman" w:hAnsi="Times New Roman" w:cs="Times New Roman"/>
          <w:sz w:val="24"/>
          <w:szCs w:val="24"/>
          <w:lang w:eastAsia="ru-RU"/>
        </w:rPr>
        <w:t>у пациентов, получавших абиратерон</w:t>
      </w:r>
      <w:r w:rsidRPr="00E22DDB">
        <w:rPr>
          <w:rFonts w:ascii="Times New Roman" w:eastAsia="TimesNewRoman" w:hAnsi="Times New Roman" w:cs="Times New Roman"/>
          <w:sz w:val="24"/>
          <w:szCs w:val="24"/>
          <w:lang w:eastAsia="ru-RU"/>
        </w:rPr>
        <w:t>, и 16.8 месяцев для пациентов, получавших плацебо (ОР=0.580; 95% ДИ: [0.487, 0.691], p &lt; 0.0001).</w:t>
      </w:r>
    </w:p>
    <w:p w14:paraId="0E744820"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Время до ухудшения балльной оценки функционального состояния по классификации ECOG ≥ чем на 1 пункт: медиана времени до ухудшения балльной оценки функционального состояния по классификации ECOG ≥ чем на 1 пункт составляла 13.3 месяцев у пациентов, получавших</w:t>
      </w:r>
      <w:r w:rsidR="00A73EE6" w:rsidRPr="00E22DDB">
        <w:rPr>
          <w:rFonts w:ascii="Times New Roman" w:eastAsia="TimesNewRoman" w:hAnsi="Times New Roman" w:cs="Times New Roman"/>
          <w:sz w:val="24"/>
          <w:szCs w:val="24"/>
          <w:lang w:eastAsia="ru-RU"/>
        </w:rPr>
        <w:t xml:space="preserve"> абиратерон</w:t>
      </w:r>
      <w:r w:rsidRPr="00E22DDB">
        <w:rPr>
          <w:rFonts w:ascii="Times New Roman" w:eastAsia="TimesNewRoman" w:hAnsi="Times New Roman" w:cs="Times New Roman"/>
          <w:sz w:val="24"/>
          <w:szCs w:val="24"/>
          <w:lang w:eastAsia="ru-RU"/>
        </w:rPr>
        <w:t>, и 10.9 месяцев у пациентов, получавших плацебо (ОР=0.821; 95% ДИ: [0.714, 0.943], p=0.0053).</w:t>
      </w:r>
    </w:p>
    <w:p w14:paraId="1DFFAE25"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Следующие конечные точки исследования продемонстрировали статистически достоверное преимущество в пользу лечения </w:t>
      </w:r>
      <w:r w:rsidR="00A73EE6" w:rsidRPr="00E22DDB">
        <w:rPr>
          <w:rFonts w:ascii="Times New Roman" w:eastAsia="TimesNewRoman" w:hAnsi="Times New Roman" w:cs="Times New Roman"/>
          <w:sz w:val="24"/>
          <w:szCs w:val="24"/>
          <w:lang w:eastAsia="ru-RU"/>
        </w:rPr>
        <w:t>абиратероном.</w:t>
      </w:r>
    </w:p>
    <w:p w14:paraId="74C895F5" w14:textId="77777777" w:rsidR="009901E9" w:rsidRPr="00E22DDB" w:rsidRDefault="00A73EE6"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Объективный ответ: о</w:t>
      </w:r>
      <w:r w:rsidR="009901E9" w:rsidRPr="00E22DDB">
        <w:rPr>
          <w:rFonts w:ascii="Times New Roman" w:eastAsia="TimesNewRoman" w:hAnsi="Times New Roman" w:cs="Times New Roman"/>
          <w:sz w:val="24"/>
          <w:szCs w:val="24"/>
          <w:lang w:eastAsia="ru-RU"/>
        </w:rPr>
        <w:t xml:space="preserve">бъективный ответ определялся как количество лиц с измеряемыми проявлениями заболевания, достигших полного или частичного ответа в соответствии с критериями RECIST (требовалось, чтобы размер лимфатического узла был ≥ 2 см, чтобы рассматривать его как целевой опухолевый узел). Количество лиц с измеряемыми проявлениями заболевания исходно, у которых отмечался объективный ответ, составило 36% в группе </w:t>
      </w:r>
      <w:r w:rsidRPr="00E22DDB">
        <w:rPr>
          <w:rFonts w:ascii="Times New Roman" w:eastAsia="TimesNewRoman" w:hAnsi="Times New Roman" w:cs="Times New Roman"/>
          <w:sz w:val="24"/>
          <w:szCs w:val="24"/>
          <w:lang w:eastAsia="ru-RU"/>
        </w:rPr>
        <w:t>абиратерона</w:t>
      </w:r>
      <w:r w:rsidR="009901E9" w:rsidRPr="00E22DDB">
        <w:rPr>
          <w:rFonts w:ascii="Times New Roman" w:eastAsia="TimesNewRoman" w:hAnsi="Times New Roman" w:cs="Times New Roman"/>
          <w:sz w:val="24"/>
          <w:szCs w:val="24"/>
          <w:lang w:eastAsia="ru-RU"/>
        </w:rPr>
        <w:t xml:space="preserve"> и 16% в группе плацебо (p &lt; 0.0001). </w:t>
      </w:r>
    </w:p>
    <w:p w14:paraId="4E2DD402" w14:textId="77777777" w:rsidR="009901E9" w:rsidRPr="00E22DDB" w:rsidRDefault="00A73EE6"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Боль: л</w:t>
      </w:r>
      <w:r w:rsidR="009901E9" w:rsidRPr="00E22DDB">
        <w:rPr>
          <w:rFonts w:ascii="Times New Roman" w:eastAsia="TimesNewRoman" w:hAnsi="Times New Roman" w:cs="Times New Roman"/>
          <w:sz w:val="24"/>
          <w:szCs w:val="24"/>
          <w:lang w:eastAsia="ru-RU"/>
        </w:rPr>
        <w:t xml:space="preserve">ечение </w:t>
      </w:r>
      <w:r w:rsidRPr="00E22DDB">
        <w:rPr>
          <w:rFonts w:ascii="Times New Roman" w:eastAsia="TimesNewRoman" w:hAnsi="Times New Roman" w:cs="Times New Roman"/>
          <w:sz w:val="24"/>
          <w:szCs w:val="24"/>
          <w:lang w:eastAsia="ru-RU"/>
        </w:rPr>
        <w:t>абиратероном</w:t>
      </w:r>
      <w:r w:rsidR="009901E9" w:rsidRPr="00E22DDB">
        <w:rPr>
          <w:rFonts w:ascii="Times New Roman" w:eastAsia="TimesNewRoman" w:hAnsi="Times New Roman" w:cs="Times New Roman"/>
          <w:sz w:val="24"/>
          <w:szCs w:val="24"/>
          <w:lang w:eastAsia="ru-RU"/>
        </w:rPr>
        <w:t xml:space="preserve"> достоверно снизило риск прогрессирования средней интенсивности боли на 18% по сравнению с плацебо (p=0.0490). Медиана времени до прогрессирования составляла 26.7 месяцев в группе </w:t>
      </w:r>
      <w:r w:rsidRPr="00E22DDB">
        <w:rPr>
          <w:rFonts w:ascii="Times New Roman" w:eastAsia="TimesNewRoman" w:hAnsi="Times New Roman" w:cs="Times New Roman"/>
          <w:sz w:val="24"/>
          <w:szCs w:val="24"/>
          <w:lang w:eastAsia="ru-RU"/>
        </w:rPr>
        <w:t xml:space="preserve">абиратерона </w:t>
      </w:r>
      <w:r w:rsidR="009901E9" w:rsidRPr="00E22DDB">
        <w:rPr>
          <w:rFonts w:ascii="Times New Roman" w:eastAsia="TimesNewRoman" w:hAnsi="Times New Roman" w:cs="Times New Roman"/>
          <w:sz w:val="24"/>
          <w:szCs w:val="24"/>
          <w:lang w:eastAsia="ru-RU"/>
        </w:rPr>
        <w:t>и 18.4 месяцев в группе плацебо.</w:t>
      </w:r>
    </w:p>
    <w:p w14:paraId="4F2B423E"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Время до ухудшения оценки по опроснику FACT-P (Общая балльная оценка): Лечение </w:t>
      </w:r>
      <w:r w:rsidR="00A73EE6"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xml:space="preserve"> снизило риск ухудшения оценки по FACT-P (Общая балльная оценка) на 22% по сравнению с плацебо (p = 0.0028). Медиана времени до ухудшения оценки по FACT-Р (Общая балльная оценка) составляла 12.7 месяцев в группе </w:t>
      </w:r>
      <w:r w:rsidR="004B58BF" w:rsidRPr="00E22DDB">
        <w:rPr>
          <w:rFonts w:ascii="Times New Roman" w:eastAsia="TimesNewRoman" w:hAnsi="Times New Roman" w:cs="Times New Roman"/>
          <w:sz w:val="24"/>
          <w:szCs w:val="24"/>
          <w:lang w:eastAsia="ru-RU"/>
        </w:rPr>
        <w:t>абиратерона</w:t>
      </w:r>
      <w:r w:rsidRPr="00E22DDB">
        <w:rPr>
          <w:rFonts w:ascii="Times New Roman" w:eastAsia="TimesNewRoman" w:hAnsi="Times New Roman" w:cs="Times New Roman"/>
          <w:sz w:val="24"/>
          <w:szCs w:val="24"/>
          <w:lang w:eastAsia="ru-RU"/>
        </w:rPr>
        <w:t xml:space="preserve"> и 8.3 месяца в группе плацебо.</w:t>
      </w:r>
    </w:p>
    <w:p w14:paraId="4999257B"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Cs/>
          <w:i/>
          <w:sz w:val="24"/>
          <w:szCs w:val="24"/>
          <w:lang w:eastAsia="ru-RU"/>
        </w:rPr>
      </w:pPr>
      <w:r w:rsidRPr="00E22DDB">
        <w:rPr>
          <w:rFonts w:ascii="Times New Roman" w:eastAsia="TimesNewRoman,Bold" w:hAnsi="Times New Roman" w:cs="Times New Roman"/>
          <w:bCs/>
          <w:i/>
          <w:sz w:val="24"/>
          <w:szCs w:val="24"/>
          <w:lang w:eastAsia="ru-RU"/>
        </w:rPr>
        <w:t xml:space="preserve">Исследование 301 (пациенты, которые получали предшествующую химиотерапию) </w:t>
      </w:r>
    </w:p>
    <w:p w14:paraId="133FBB2D"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Bold" w:hAnsi="Times New Roman" w:cs="Times New Roman"/>
          <w:bCs/>
          <w:sz w:val="24"/>
          <w:szCs w:val="24"/>
          <w:lang w:eastAsia="ru-RU"/>
        </w:rPr>
        <w:t xml:space="preserve">В исследование 301 были включены пациенты, ранее получавшие доцетаксел. Не требовалось, чтобы у пациентов было показано прогрессирование заболевания на фоне лечения доцетакселом, поскольку токсичность от этой химиотерапии могла привести к прекращению лечения. Пациенты продолжали получать исследуемое лечение до тех пор, пока у них не было констатировано прогрессирование </w:t>
      </w:r>
      <w:r w:rsidRPr="00E22DDB">
        <w:rPr>
          <w:rFonts w:ascii="Times New Roman" w:eastAsia="TimesNewRoman" w:hAnsi="Times New Roman" w:cs="Times New Roman"/>
          <w:sz w:val="24"/>
          <w:szCs w:val="24"/>
          <w:lang w:eastAsia="ru-RU"/>
        </w:rPr>
        <w:t xml:space="preserve">PSA (подтвержденное увеличением на 25 % по сравнению с имевшимся у пациента исходным значением/самым низким уровнем) наряду с определенным согласно протоколу рентгенологическим прогрессированием и симптомным или клиническим прогрессированием. Пациенты, ранее </w:t>
      </w:r>
      <w:r w:rsidRPr="00E22DDB">
        <w:rPr>
          <w:rFonts w:ascii="Times New Roman" w:eastAsia="TimesNewRoman" w:hAnsi="Times New Roman" w:cs="Times New Roman"/>
          <w:sz w:val="24"/>
          <w:szCs w:val="24"/>
          <w:lang w:eastAsia="ru-RU"/>
        </w:rPr>
        <w:lastRenderedPageBreak/>
        <w:t>получавшие лечение кетоконазолом по поводу рака предстательной железы, были исключены из этого исследования. Первичной конечной точкой эффективности являлась общая выживаемость.</w:t>
      </w:r>
    </w:p>
    <w:p w14:paraId="0EFC5882"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Медиана возраста включенных в исследование пациентов составляла 69 лет (диапазон - 39-95 лет). Количество пациентов, пролеченных </w:t>
      </w:r>
      <w:r w:rsidR="004B58BF"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xml:space="preserve">, в зависимости от расовой группы составляло 737 лиц европеоидной расы (93.2 %), 28 лиц негроидной расы (3.5 %), 11 выходцев из Азии (1.4 %) и 14 представителей других рас (1.8 %). Одиннадцать процентов включенных пациентов имели балльную оценку функционального статуса по классификации ECOG, равную 2; у 70% имелись рентгенологические доказательства прогрессирования заболевания с прогрессированием PSA или без такового; 70% ранее получали один курс цитотоксической химиотерапии, а 30% - два курса. Метастазы в печени имелись у 11% пациентов, пролеченных </w:t>
      </w:r>
      <w:r w:rsidR="004B58BF"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xml:space="preserve">. </w:t>
      </w:r>
    </w:p>
    <w:p w14:paraId="01DC3EAF" w14:textId="47F5EABF"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 запланированном анализе, проведенном после 552 наблюдаемых смертей, умерло 42% (333 из 797) пациентов, пролеченных </w:t>
      </w:r>
      <w:r w:rsidR="004807DA"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xml:space="preserve">, по сравнению с 55% (219 из 398) пациентов, пролеченных плацебо. У пациентов, пролеченных </w:t>
      </w:r>
      <w:r w:rsidR="004807DA"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xml:space="preserve">, наблюдалось статистически достоверное улучшение медианы общей выживаемости (смотри Таблицу </w:t>
      </w:r>
      <w:r w:rsidR="00794381" w:rsidRPr="00E22DDB">
        <w:rPr>
          <w:rFonts w:ascii="Times New Roman" w:eastAsia="TimesNewRoman" w:hAnsi="Times New Roman" w:cs="Times New Roman"/>
          <w:sz w:val="24"/>
          <w:szCs w:val="24"/>
          <w:lang w:eastAsia="ru-RU"/>
        </w:rPr>
        <w:t>7</w:t>
      </w:r>
      <w:r w:rsidRPr="00E22DDB">
        <w:rPr>
          <w:rFonts w:ascii="Times New Roman" w:eastAsia="TimesNewRoman" w:hAnsi="Times New Roman" w:cs="Times New Roman"/>
          <w:sz w:val="24"/>
          <w:szCs w:val="24"/>
          <w:lang w:eastAsia="ru-RU"/>
        </w:rPr>
        <w:t>).</w:t>
      </w:r>
    </w:p>
    <w:p w14:paraId="795D6FAD"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10923138" w14:textId="474ED695"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bCs/>
          <w:sz w:val="24"/>
          <w:szCs w:val="24"/>
          <w:lang w:eastAsia="ru-RU"/>
        </w:rPr>
        <w:t xml:space="preserve">Таблица </w:t>
      </w:r>
      <w:r w:rsidR="00794381" w:rsidRPr="00E22DDB">
        <w:rPr>
          <w:rFonts w:ascii="Times New Roman" w:eastAsia="TimesNewRoman,Bold" w:hAnsi="Times New Roman" w:cs="Times New Roman"/>
          <w:b/>
          <w:bCs/>
          <w:sz w:val="24"/>
          <w:szCs w:val="24"/>
          <w:lang w:eastAsia="ru-RU"/>
        </w:rPr>
        <w:t>7</w:t>
      </w:r>
      <w:r w:rsidRPr="00E22DDB">
        <w:rPr>
          <w:rFonts w:ascii="Times New Roman" w:eastAsia="TimesNewRoman,Bold" w:hAnsi="Times New Roman" w:cs="Times New Roman"/>
          <w:b/>
          <w:bCs/>
          <w:sz w:val="24"/>
          <w:szCs w:val="24"/>
          <w:lang w:eastAsia="ru-RU"/>
        </w:rPr>
        <w:t xml:space="preserve">: Общая выживаемость пациентов, пролеченных </w:t>
      </w:r>
      <w:r w:rsidR="004807DA" w:rsidRPr="00E22DDB">
        <w:rPr>
          <w:rFonts w:ascii="Times New Roman" w:eastAsia="TimesNewRoman,Bold" w:hAnsi="Times New Roman" w:cs="Times New Roman"/>
          <w:b/>
          <w:bCs/>
          <w:sz w:val="24"/>
          <w:szCs w:val="24"/>
          <w:lang w:eastAsia="ru-RU"/>
        </w:rPr>
        <w:t>абиратероном</w:t>
      </w:r>
      <w:r w:rsidRPr="00E22DDB">
        <w:rPr>
          <w:rFonts w:ascii="Times New Roman" w:eastAsia="TimesNewRoman,Bold" w:hAnsi="Times New Roman" w:cs="Times New Roman"/>
          <w:b/>
          <w:bCs/>
          <w:sz w:val="24"/>
          <w:szCs w:val="24"/>
          <w:lang w:eastAsia="ru-RU"/>
        </w:rPr>
        <w:t xml:space="preserve"> или плацебо в комбинации с преднизоном или преднизолоном + аналоги ЛГРГ или предшествующая орхиэктомия.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977"/>
        <w:gridCol w:w="2551"/>
      </w:tblGrid>
      <w:tr w:rsidR="009901E9" w:rsidRPr="00E22DDB" w14:paraId="617C8E36" w14:textId="77777777" w:rsidTr="00714245">
        <w:tc>
          <w:tcPr>
            <w:tcW w:w="3402" w:type="dxa"/>
            <w:shd w:val="clear" w:color="auto" w:fill="auto"/>
          </w:tcPr>
          <w:p w14:paraId="5376F501"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p>
        </w:tc>
        <w:tc>
          <w:tcPr>
            <w:tcW w:w="2977" w:type="dxa"/>
            <w:shd w:val="clear" w:color="auto" w:fill="auto"/>
          </w:tcPr>
          <w:p w14:paraId="15A20208" w14:textId="77777777" w:rsidR="009901E9" w:rsidRPr="00E22DDB" w:rsidRDefault="004807DA" w:rsidP="009901E9">
            <w:pPr>
              <w:widowControl w:val="0"/>
              <w:autoSpaceDE w:val="0"/>
              <w:autoSpaceDN w:val="0"/>
              <w:adjustRightInd w:val="0"/>
              <w:spacing w:after="0" w:line="240" w:lineRule="auto"/>
              <w:jc w:val="center"/>
              <w:rPr>
                <w:rFonts w:ascii="Times New Roman" w:eastAsia="TimesNewRoman,Bold" w:hAnsi="Times New Roman" w:cs="Times New Roman"/>
                <w:b/>
                <w:bCs/>
                <w:sz w:val="24"/>
                <w:szCs w:val="24"/>
                <w:lang w:eastAsia="ru-RU"/>
              </w:rPr>
            </w:pPr>
            <w:r w:rsidRPr="00E22DDB">
              <w:rPr>
                <w:rFonts w:ascii="Times New Roman" w:eastAsia="TimesNewRoman" w:hAnsi="Times New Roman" w:cs="Times New Roman"/>
                <w:b/>
                <w:sz w:val="24"/>
                <w:szCs w:val="24"/>
                <w:lang w:eastAsia="ru-RU"/>
              </w:rPr>
              <w:t>Абиратерон</w:t>
            </w:r>
          </w:p>
          <w:p w14:paraId="03349825"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Bold" w:hAnsi="Times New Roman" w:cs="Times New Roman"/>
                <w:b/>
                <w:bCs/>
                <w:sz w:val="24"/>
                <w:szCs w:val="24"/>
                <w:lang w:eastAsia="ru-RU"/>
              </w:rPr>
              <w:t>(N=797)</w:t>
            </w:r>
          </w:p>
        </w:tc>
        <w:tc>
          <w:tcPr>
            <w:tcW w:w="2551" w:type="dxa"/>
            <w:shd w:val="clear" w:color="auto" w:fill="auto"/>
          </w:tcPr>
          <w:p w14:paraId="13BD6F81"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Плацебо</w:t>
            </w:r>
          </w:p>
          <w:p w14:paraId="656B53D9"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E22DDB">
              <w:rPr>
                <w:rFonts w:ascii="Times New Roman" w:eastAsia="TimesNewRoman,Bold" w:hAnsi="Times New Roman" w:cs="Times New Roman"/>
                <w:b/>
                <w:bCs/>
                <w:sz w:val="24"/>
                <w:szCs w:val="24"/>
                <w:lang w:eastAsia="ru-RU"/>
              </w:rPr>
              <w:t>(N=398)</w:t>
            </w:r>
          </w:p>
        </w:tc>
      </w:tr>
      <w:tr w:rsidR="009901E9" w:rsidRPr="00E22DDB" w14:paraId="01F8A476" w14:textId="77777777" w:rsidTr="00714245">
        <w:tc>
          <w:tcPr>
            <w:tcW w:w="8930" w:type="dxa"/>
            <w:gridSpan w:val="3"/>
            <w:shd w:val="clear" w:color="auto" w:fill="auto"/>
          </w:tcPr>
          <w:p w14:paraId="02689A6B"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 xml:space="preserve">Первичный анализ выживаемости </w:t>
            </w:r>
          </w:p>
        </w:tc>
      </w:tr>
      <w:tr w:rsidR="009901E9" w:rsidRPr="00E22DDB" w14:paraId="66BD7390" w14:textId="77777777" w:rsidTr="00714245">
        <w:tc>
          <w:tcPr>
            <w:tcW w:w="3402" w:type="dxa"/>
            <w:shd w:val="clear" w:color="auto" w:fill="auto"/>
          </w:tcPr>
          <w:p w14:paraId="3AC9EF14" w14:textId="77777777" w:rsidR="009901E9" w:rsidRPr="00E22DDB" w:rsidRDefault="009901E9" w:rsidP="009901E9">
            <w:pPr>
              <w:widowControl w:val="0"/>
              <w:autoSpaceDE w:val="0"/>
              <w:autoSpaceDN w:val="0"/>
              <w:adjustRightInd w:val="0"/>
              <w:spacing w:after="0" w:line="240" w:lineRule="auto"/>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Смерти (%)</w:t>
            </w:r>
          </w:p>
        </w:tc>
        <w:tc>
          <w:tcPr>
            <w:tcW w:w="2977" w:type="dxa"/>
            <w:shd w:val="clear" w:color="auto" w:fill="auto"/>
          </w:tcPr>
          <w:p w14:paraId="6FE5A32E"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333 (42%)</w:t>
            </w:r>
          </w:p>
        </w:tc>
        <w:tc>
          <w:tcPr>
            <w:tcW w:w="2551" w:type="dxa"/>
            <w:shd w:val="clear" w:color="auto" w:fill="auto"/>
          </w:tcPr>
          <w:p w14:paraId="57B21ADD"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219 (55%)</w:t>
            </w:r>
          </w:p>
        </w:tc>
      </w:tr>
      <w:tr w:rsidR="009901E9" w:rsidRPr="00E22DDB" w14:paraId="4DD4D377" w14:textId="77777777" w:rsidTr="00714245">
        <w:tc>
          <w:tcPr>
            <w:tcW w:w="3402" w:type="dxa"/>
            <w:shd w:val="clear" w:color="auto" w:fill="auto"/>
          </w:tcPr>
          <w:p w14:paraId="0D074F01" w14:textId="77777777" w:rsidR="009901E9" w:rsidRPr="00E22DDB" w:rsidRDefault="009901E9" w:rsidP="009901E9">
            <w:pPr>
              <w:widowControl w:val="0"/>
              <w:autoSpaceDE w:val="0"/>
              <w:autoSpaceDN w:val="0"/>
              <w:adjustRightInd w:val="0"/>
              <w:spacing w:after="0" w:line="240" w:lineRule="auto"/>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Медиана выживаемости (месяцы) (95% ДИ)</w:t>
            </w:r>
          </w:p>
        </w:tc>
        <w:tc>
          <w:tcPr>
            <w:tcW w:w="2977" w:type="dxa"/>
            <w:shd w:val="clear" w:color="auto" w:fill="auto"/>
          </w:tcPr>
          <w:p w14:paraId="6C6E9E38"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14.8 (14.1, 15.4)</w:t>
            </w:r>
          </w:p>
        </w:tc>
        <w:tc>
          <w:tcPr>
            <w:tcW w:w="2551" w:type="dxa"/>
            <w:shd w:val="clear" w:color="auto" w:fill="auto"/>
          </w:tcPr>
          <w:p w14:paraId="6AB8C7C5"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10.9 (10.2, 12.0)</w:t>
            </w:r>
          </w:p>
        </w:tc>
      </w:tr>
      <w:tr w:rsidR="009901E9" w:rsidRPr="00E22DDB" w14:paraId="63897ED2" w14:textId="77777777" w:rsidTr="00714245">
        <w:tc>
          <w:tcPr>
            <w:tcW w:w="3402" w:type="dxa"/>
            <w:shd w:val="clear" w:color="auto" w:fill="auto"/>
          </w:tcPr>
          <w:p w14:paraId="78C16294" w14:textId="77777777" w:rsidR="009901E9" w:rsidRPr="00E22DDB" w:rsidRDefault="009901E9" w:rsidP="009901E9">
            <w:pPr>
              <w:widowControl w:val="0"/>
              <w:autoSpaceDE w:val="0"/>
              <w:autoSpaceDN w:val="0"/>
              <w:adjustRightInd w:val="0"/>
              <w:spacing w:after="0" w:line="240" w:lineRule="auto"/>
              <w:rPr>
                <w:rFonts w:ascii="Times New Roman" w:eastAsia="TimesNewRoman" w:hAnsi="Times New Roman" w:cs="Times New Roman"/>
                <w:sz w:val="24"/>
                <w:szCs w:val="24"/>
                <w:vertAlign w:val="superscript"/>
                <w:lang w:eastAsia="ru-RU"/>
              </w:rPr>
            </w:pPr>
            <w:r w:rsidRPr="00E22DDB">
              <w:rPr>
                <w:rFonts w:ascii="Times New Roman" w:eastAsia="TimesNewRoman" w:hAnsi="Times New Roman" w:cs="Times New Roman"/>
                <w:sz w:val="24"/>
                <w:szCs w:val="24"/>
                <w:lang w:eastAsia="ru-RU"/>
              </w:rPr>
              <w:t>Значение р</w:t>
            </w:r>
            <w:r w:rsidRPr="00E22DDB">
              <w:rPr>
                <w:rFonts w:ascii="Times New Roman" w:eastAsia="TimesNewRoman" w:hAnsi="Times New Roman" w:cs="Times New Roman"/>
                <w:sz w:val="24"/>
                <w:szCs w:val="24"/>
                <w:vertAlign w:val="superscript"/>
                <w:lang w:eastAsia="ru-RU"/>
              </w:rPr>
              <w:t>а</w:t>
            </w:r>
          </w:p>
        </w:tc>
        <w:tc>
          <w:tcPr>
            <w:tcW w:w="5528" w:type="dxa"/>
            <w:gridSpan w:val="2"/>
            <w:shd w:val="clear" w:color="auto" w:fill="auto"/>
          </w:tcPr>
          <w:p w14:paraId="2DEFCC9D"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Batang" w:hAnsi="Times New Roman" w:cs="Times New Roman"/>
                <w:sz w:val="24"/>
                <w:szCs w:val="24"/>
                <w:lang w:eastAsia="ru-RU"/>
              </w:rPr>
              <w:t xml:space="preserve">&lt; </w:t>
            </w:r>
            <w:r w:rsidRPr="00E22DDB">
              <w:rPr>
                <w:rFonts w:ascii="Times New Roman" w:eastAsia="TimesNewRoman" w:hAnsi="Times New Roman" w:cs="Times New Roman"/>
                <w:sz w:val="24"/>
                <w:szCs w:val="24"/>
                <w:lang w:eastAsia="ru-RU"/>
              </w:rPr>
              <w:t>0.0001</w:t>
            </w:r>
          </w:p>
        </w:tc>
      </w:tr>
      <w:tr w:rsidR="009901E9" w:rsidRPr="00E22DDB" w14:paraId="73CBD13F" w14:textId="77777777" w:rsidTr="00714245">
        <w:tc>
          <w:tcPr>
            <w:tcW w:w="3402" w:type="dxa"/>
            <w:shd w:val="clear" w:color="auto" w:fill="auto"/>
          </w:tcPr>
          <w:p w14:paraId="2CD32BB0" w14:textId="77777777" w:rsidR="009901E9" w:rsidRPr="00E22DDB" w:rsidRDefault="009901E9" w:rsidP="009901E9">
            <w:pPr>
              <w:widowControl w:val="0"/>
              <w:autoSpaceDE w:val="0"/>
              <w:autoSpaceDN w:val="0"/>
              <w:adjustRightInd w:val="0"/>
              <w:spacing w:after="0" w:line="240" w:lineRule="auto"/>
              <w:rPr>
                <w:rFonts w:ascii="Times New Roman" w:eastAsia="TimesNewRoman" w:hAnsi="Times New Roman" w:cs="Times New Roman"/>
                <w:sz w:val="24"/>
                <w:szCs w:val="24"/>
                <w:vertAlign w:val="superscript"/>
                <w:lang w:eastAsia="ru-RU"/>
              </w:rPr>
            </w:pPr>
            <w:r w:rsidRPr="00E22DDB">
              <w:rPr>
                <w:rFonts w:ascii="Times New Roman" w:eastAsia="TimesNewRoman" w:hAnsi="Times New Roman" w:cs="Times New Roman"/>
                <w:sz w:val="24"/>
                <w:szCs w:val="24"/>
                <w:lang w:eastAsia="ru-RU"/>
              </w:rPr>
              <w:t>Отношение рисков (95% ДИ)</w:t>
            </w:r>
            <w:r w:rsidRPr="00E22DDB">
              <w:rPr>
                <w:rFonts w:ascii="Times New Roman" w:eastAsia="TimesNewRoman" w:hAnsi="Times New Roman" w:cs="Times New Roman"/>
                <w:sz w:val="24"/>
                <w:szCs w:val="24"/>
                <w:vertAlign w:val="superscript"/>
                <w:lang w:eastAsia="ru-RU"/>
              </w:rPr>
              <w:t>б</w:t>
            </w:r>
          </w:p>
        </w:tc>
        <w:tc>
          <w:tcPr>
            <w:tcW w:w="5528" w:type="dxa"/>
            <w:gridSpan w:val="2"/>
            <w:shd w:val="clear" w:color="auto" w:fill="auto"/>
          </w:tcPr>
          <w:p w14:paraId="3C3FB9E8"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0.646 (0.543, 0.768)</w:t>
            </w:r>
          </w:p>
        </w:tc>
      </w:tr>
      <w:tr w:rsidR="009901E9" w:rsidRPr="00E22DDB" w14:paraId="15FBDC06" w14:textId="77777777" w:rsidTr="00714245">
        <w:tc>
          <w:tcPr>
            <w:tcW w:w="8930" w:type="dxa"/>
            <w:gridSpan w:val="3"/>
            <w:shd w:val="clear" w:color="auto" w:fill="auto"/>
          </w:tcPr>
          <w:p w14:paraId="6D27412A" w14:textId="77777777" w:rsidR="009901E9" w:rsidRPr="00E22DDB" w:rsidRDefault="009901E9" w:rsidP="009901E9">
            <w:pPr>
              <w:widowControl w:val="0"/>
              <w:autoSpaceDE w:val="0"/>
              <w:autoSpaceDN w:val="0"/>
              <w:adjustRightInd w:val="0"/>
              <w:spacing w:after="0" w:line="240" w:lineRule="auto"/>
              <w:rPr>
                <w:rFonts w:ascii="Times New Roman" w:eastAsia="TimesNewRoman" w:hAnsi="Times New Roman" w:cs="Times New Roman"/>
                <w:b/>
                <w:sz w:val="24"/>
                <w:szCs w:val="24"/>
                <w:lang w:eastAsia="ru-RU"/>
              </w:rPr>
            </w:pPr>
            <w:r w:rsidRPr="00E22DDB">
              <w:rPr>
                <w:rFonts w:ascii="Times New Roman" w:eastAsia="TimesNewRoman" w:hAnsi="Times New Roman" w:cs="Times New Roman"/>
                <w:b/>
                <w:sz w:val="24"/>
                <w:szCs w:val="24"/>
                <w:lang w:eastAsia="ru-RU"/>
              </w:rPr>
              <w:t>Обновленный анализ выживаемости</w:t>
            </w:r>
          </w:p>
        </w:tc>
      </w:tr>
      <w:tr w:rsidR="009901E9" w:rsidRPr="00E22DDB" w14:paraId="7E4539FB" w14:textId="77777777" w:rsidTr="00714245">
        <w:tc>
          <w:tcPr>
            <w:tcW w:w="3402" w:type="dxa"/>
            <w:shd w:val="clear" w:color="auto" w:fill="auto"/>
          </w:tcPr>
          <w:p w14:paraId="7A349E14" w14:textId="77777777" w:rsidR="009901E9" w:rsidRPr="00E22DDB" w:rsidRDefault="009901E9" w:rsidP="009901E9">
            <w:pPr>
              <w:widowControl w:val="0"/>
              <w:autoSpaceDE w:val="0"/>
              <w:autoSpaceDN w:val="0"/>
              <w:adjustRightInd w:val="0"/>
              <w:spacing w:after="0" w:line="240" w:lineRule="auto"/>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Смерти (%)</w:t>
            </w:r>
          </w:p>
        </w:tc>
        <w:tc>
          <w:tcPr>
            <w:tcW w:w="2977" w:type="dxa"/>
            <w:shd w:val="clear" w:color="auto" w:fill="auto"/>
          </w:tcPr>
          <w:p w14:paraId="4FA1658B"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501 (63%)</w:t>
            </w:r>
          </w:p>
        </w:tc>
        <w:tc>
          <w:tcPr>
            <w:tcW w:w="2551" w:type="dxa"/>
            <w:shd w:val="clear" w:color="auto" w:fill="auto"/>
          </w:tcPr>
          <w:p w14:paraId="7DC15E22"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274 (69%)</w:t>
            </w:r>
          </w:p>
        </w:tc>
      </w:tr>
      <w:tr w:rsidR="009901E9" w:rsidRPr="00E22DDB" w14:paraId="001B341E" w14:textId="77777777" w:rsidTr="00714245">
        <w:tc>
          <w:tcPr>
            <w:tcW w:w="3402" w:type="dxa"/>
            <w:shd w:val="clear" w:color="auto" w:fill="auto"/>
          </w:tcPr>
          <w:p w14:paraId="40CE474C" w14:textId="77777777" w:rsidR="009901E9" w:rsidRPr="00E22DDB" w:rsidRDefault="009901E9" w:rsidP="009901E9">
            <w:pPr>
              <w:widowControl w:val="0"/>
              <w:autoSpaceDE w:val="0"/>
              <w:autoSpaceDN w:val="0"/>
              <w:adjustRightInd w:val="0"/>
              <w:spacing w:after="0" w:line="240" w:lineRule="auto"/>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Медиана выживаемости (месяцы) (95%ДИ)</w:t>
            </w:r>
          </w:p>
        </w:tc>
        <w:tc>
          <w:tcPr>
            <w:tcW w:w="2977" w:type="dxa"/>
            <w:shd w:val="clear" w:color="auto" w:fill="auto"/>
          </w:tcPr>
          <w:p w14:paraId="449204DA"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15.8 (14.8, 17.0)</w:t>
            </w:r>
          </w:p>
        </w:tc>
        <w:tc>
          <w:tcPr>
            <w:tcW w:w="2551" w:type="dxa"/>
            <w:shd w:val="clear" w:color="auto" w:fill="auto"/>
          </w:tcPr>
          <w:p w14:paraId="30D0FBA8"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11.2</w:t>
            </w:r>
          </w:p>
          <w:p w14:paraId="5C533B6A"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(10.4, 13.1)</w:t>
            </w:r>
          </w:p>
        </w:tc>
      </w:tr>
      <w:tr w:rsidR="009901E9" w:rsidRPr="00E22DDB" w14:paraId="78CE5272" w14:textId="77777777" w:rsidTr="00714245">
        <w:tc>
          <w:tcPr>
            <w:tcW w:w="3402" w:type="dxa"/>
            <w:shd w:val="clear" w:color="auto" w:fill="auto"/>
          </w:tcPr>
          <w:p w14:paraId="2EAB17E0"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Отношение рисков (95% ДИ)</w:t>
            </w:r>
            <w:r w:rsidRPr="00E22DDB">
              <w:rPr>
                <w:rFonts w:ascii="Times New Roman" w:eastAsia="TimesNewRoman" w:hAnsi="Times New Roman" w:cs="Times New Roman"/>
                <w:sz w:val="24"/>
                <w:szCs w:val="24"/>
                <w:vertAlign w:val="superscript"/>
                <w:lang w:eastAsia="ru-RU"/>
              </w:rPr>
              <w:t>б</w:t>
            </w:r>
          </w:p>
        </w:tc>
        <w:tc>
          <w:tcPr>
            <w:tcW w:w="5528" w:type="dxa"/>
            <w:gridSpan w:val="2"/>
            <w:shd w:val="clear" w:color="auto" w:fill="auto"/>
          </w:tcPr>
          <w:p w14:paraId="74BFAFF5" w14:textId="77777777" w:rsidR="009901E9" w:rsidRPr="00E22DDB" w:rsidRDefault="009901E9" w:rsidP="009901E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0.740 (0.638, 0.859)</w:t>
            </w:r>
          </w:p>
        </w:tc>
      </w:tr>
    </w:tbl>
    <w:p w14:paraId="1E3DD6C7"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vertAlign w:val="superscript"/>
          <w:lang w:eastAsia="ru-RU"/>
        </w:rPr>
        <w:t xml:space="preserve">а </w:t>
      </w:r>
      <w:r w:rsidRPr="00E22DDB">
        <w:rPr>
          <w:rFonts w:ascii="Times New Roman" w:eastAsia="TimesNewRoman" w:hAnsi="Times New Roman" w:cs="Times New Roman"/>
          <w:sz w:val="20"/>
          <w:szCs w:val="20"/>
          <w:lang w:eastAsia="ru-RU"/>
        </w:rPr>
        <w:t xml:space="preserve">Значение P получено из логарифмического рангового критерия, стратифицированного в зависимости от исходной балльной оценки функционального статуса по классификации ECOG (0-1 балл в сравнении с 2 баллами), балльной оценки боли (отсутствие в сравнении с наличием), количества предшествующих режимов химиотерапии (1 в сравнении с 2-мя) и типа прогрессирования заболевания (только PSA в сравнении с рентгенологическим прогрессированием). </w:t>
      </w:r>
    </w:p>
    <w:p w14:paraId="45655168"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vertAlign w:val="superscript"/>
          <w:lang w:eastAsia="ru-RU"/>
        </w:rPr>
        <w:t xml:space="preserve">б </w:t>
      </w:r>
      <w:r w:rsidRPr="00E22DDB">
        <w:rPr>
          <w:rFonts w:ascii="Times New Roman" w:eastAsia="TimesNewRoman" w:hAnsi="Times New Roman" w:cs="Times New Roman"/>
          <w:sz w:val="20"/>
          <w:szCs w:val="20"/>
          <w:lang w:eastAsia="ru-RU"/>
        </w:rPr>
        <w:t xml:space="preserve">Отношение рисков получено из стратифицированной модели пропорциональных рисков. Отношение рисков &lt; 1 в пользу </w:t>
      </w:r>
      <w:r w:rsidR="004807DA" w:rsidRPr="00E22DDB">
        <w:rPr>
          <w:rFonts w:ascii="Times New Roman" w:eastAsia="TimesNewRoman" w:hAnsi="Times New Roman" w:cs="Times New Roman"/>
          <w:sz w:val="20"/>
          <w:szCs w:val="20"/>
          <w:lang w:eastAsia="ru-RU"/>
        </w:rPr>
        <w:t>абиратерона</w:t>
      </w:r>
    </w:p>
    <w:p w14:paraId="5AF0D6B3"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p>
    <w:p w14:paraId="64697BA6"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Во всех контрольных точках проведения оценки после первоначальных нескольких месяцев лечения  выживаемость была выше в группе, принимавших лечение </w:t>
      </w:r>
      <w:r w:rsidR="00576AAC"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xml:space="preserve">, по сравнению с группой, принимавших лечение плацебо (см. Рисунок 6). </w:t>
      </w:r>
    </w:p>
    <w:p w14:paraId="3DB97B5A"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199FA513" w14:textId="77777777" w:rsidR="00A8623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bCs/>
          <w:sz w:val="24"/>
          <w:szCs w:val="24"/>
          <w:lang w:eastAsia="ru-RU"/>
        </w:rPr>
        <w:t xml:space="preserve">Рисунок 6: Кривые выживаемости Каплана-Мейера у пациентов, пролеченных препаратом </w:t>
      </w:r>
      <w:r w:rsidR="00576AAC" w:rsidRPr="00E22DDB">
        <w:rPr>
          <w:rFonts w:ascii="Times New Roman" w:eastAsia="TimesNewRoman" w:hAnsi="Times New Roman" w:cs="Times New Roman"/>
          <w:b/>
          <w:sz w:val="24"/>
          <w:szCs w:val="24"/>
          <w:lang w:eastAsia="ru-RU"/>
        </w:rPr>
        <w:t>абиратероном</w:t>
      </w:r>
      <w:r w:rsidRPr="00E22DDB">
        <w:rPr>
          <w:rFonts w:ascii="Times New Roman" w:eastAsia="TimesNewRoman,Bold" w:hAnsi="Times New Roman" w:cs="Times New Roman"/>
          <w:b/>
          <w:bCs/>
          <w:sz w:val="24"/>
          <w:szCs w:val="24"/>
          <w:lang w:eastAsia="ru-RU"/>
        </w:rPr>
        <w:t xml:space="preserve"> или плацебо в комбинации с преднизоном или преднизолоном + аналоги ГЛРГ или предшествующая орхиэктомия.</w:t>
      </w:r>
    </w:p>
    <w:p w14:paraId="563112B5" w14:textId="77777777" w:rsidR="00A86239" w:rsidRPr="00E22DDB" w:rsidRDefault="00A8623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40782177" w14:textId="77777777" w:rsidR="00A86239" w:rsidRPr="00E22DDB" w:rsidRDefault="00A8623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6D8E065C" w14:textId="77777777" w:rsidR="00A86239" w:rsidRPr="00E22DDB" w:rsidRDefault="00A8623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44CC3C49" w14:textId="77777777" w:rsidR="00A86239" w:rsidRPr="00E22DDB" w:rsidRDefault="00A8623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0BD513ED" w14:textId="77777777" w:rsidR="00A86239" w:rsidRPr="00E22DDB" w:rsidRDefault="00A8623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p>
    <w:p w14:paraId="685D9381" w14:textId="233E85DF" w:rsidR="00A86239" w:rsidRPr="00E22DDB" w:rsidRDefault="00A8623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bCs/>
          <w:noProof/>
          <w:sz w:val="24"/>
          <w:szCs w:val="24"/>
          <w:lang w:eastAsia="ru-RU"/>
        </w:rPr>
        <w:lastRenderedPageBreak/>
        <w:drawing>
          <wp:inline distT="0" distB="0" distL="0" distR="0" wp14:anchorId="30A278C8" wp14:editId="4BD4F081">
            <wp:extent cx="5940425" cy="4146550"/>
            <wp:effectExtent l="0" t="0" r="3175" b="635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4146550"/>
                    </a:xfrm>
                    <a:prstGeom prst="rect">
                      <a:avLst/>
                    </a:prstGeom>
                  </pic:spPr>
                </pic:pic>
              </a:graphicData>
            </a:graphic>
          </wp:inline>
        </w:drawing>
      </w:r>
    </w:p>
    <w:p w14:paraId="0FBE02B1" w14:textId="431B6020"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p>
    <w:p w14:paraId="0779EF5C" w14:textId="77777777" w:rsidR="009901E9" w:rsidRPr="00E22DDB" w:rsidRDefault="009901E9" w:rsidP="009901E9">
      <w:pPr>
        <w:widowControl w:val="0"/>
        <w:autoSpaceDE w:val="0"/>
        <w:autoSpaceDN w:val="0"/>
        <w:adjustRightInd w:val="0"/>
        <w:spacing w:after="0" w:line="240" w:lineRule="auto"/>
        <w:ind w:left="720"/>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 xml:space="preserve">АА= </w:t>
      </w:r>
      <w:r w:rsidR="00D90203" w:rsidRPr="00E22DDB">
        <w:rPr>
          <w:rFonts w:ascii="Times New Roman" w:eastAsia="TimesNewRoman" w:hAnsi="Times New Roman" w:cs="Times New Roman"/>
          <w:sz w:val="20"/>
          <w:szCs w:val="20"/>
          <w:lang w:eastAsia="ru-RU"/>
        </w:rPr>
        <w:t>Абиратерона ацетат</w:t>
      </w:r>
    </w:p>
    <w:p w14:paraId="6BE05298"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p>
    <w:p w14:paraId="17CD7793"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Анализы выживаемости в подгруппах продемонстрировали стабильное преимущество в плане выживаемости для лечения </w:t>
      </w:r>
      <w:r w:rsidR="00576AAC"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xml:space="preserve"> (см. Рисунок 7).</w:t>
      </w:r>
    </w:p>
    <w:p w14:paraId="4070FAAC"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p>
    <w:p w14:paraId="494D8222"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eastAsia="ru-RU"/>
        </w:rPr>
      </w:pPr>
      <w:r w:rsidRPr="00E22DDB">
        <w:rPr>
          <w:rFonts w:ascii="Times New Roman" w:eastAsia="TimesNewRoman,Bold" w:hAnsi="Times New Roman" w:cs="Times New Roman"/>
          <w:b/>
          <w:bCs/>
          <w:sz w:val="24"/>
          <w:szCs w:val="24"/>
          <w:lang w:eastAsia="ru-RU"/>
        </w:rPr>
        <w:t>Рисунок 7: Общая выживаемость в зависимости от подгруппы: отношение рисков и 95% доверительный интервал</w:t>
      </w:r>
    </w:p>
    <w:p w14:paraId="3D863089" w14:textId="56CE0140" w:rsidR="009901E9" w:rsidRPr="00E22DDB" w:rsidRDefault="00A8623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Batang" w:hAnsi="Times New Roman" w:cs="Times New Roman"/>
          <w:noProof/>
          <w:sz w:val="24"/>
          <w:szCs w:val="24"/>
          <w:lang w:eastAsia="ru-RU"/>
        </w:rPr>
        <w:lastRenderedPageBreak/>
        <mc:AlternateContent>
          <mc:Choice Requires="wps">
            <w:drawing>
              <wp:anchor distT="0" distB="0" distL="114300" distR="114300" simplePos="0" relativeHeight="251695104" behindDoc="0" locked="0" layoutInCell="1" allowOverlap="1" wp14:anchorId="747C0CB6" wp14:editId="0DC25EF5">
                <wp:simplePos x="0" y="0"/>
                <wp:positionH relativeFrom="column">
                  <wp:posOffset>1993265</wp:posOffset>
                </wp:positionH>
                <wp:positionV relativeFrom="paragraph">
                  <wp:posOffset>2212552</wp:posOffset>
                </wp:positionV>
                <wp:extent cx="361950" cy="209550"/>
                <wp:effectExtent l="0" t="0" r="0" b="0"/>
                <wp:wrapNone/>
                <wp:docPr id="2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B79DF" w14:textId="77777777" w:rsidR="0024227F" w:rsidRPr="00965325" w:rsidRDefault="0024227F" w:rsidP="009901E9">
                            <w:pPr>
                              <w:rPr>
                                <w:rFonts w:ascii="Arial" w:hAnsi="Arial" w:cs="Arial"/>
                                <w:sz w:val="16"/>
                                <w:szCs w:val="16"/>
                              </w:rPr>
                            </w:pPr>
                            <w:r>
                              <w:rPr>
                                <w:rFonts w:ascii="Arial" w:hAnsi="Arial" w:cs="Arial"/>
                                <w:sz w:val="16"/>
                                <w:szCs w:val="16"/>
                              </w:rPr>
                              <w:t>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0CB6" id="Rectangle 38" o:spid="_x0000_s1026" style="position:absolute;left:0;text-align:left;margin-left:156.95pt;margin-top:174.2pt;width:28.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" stroked="f">
                <v:textbox>
                  <w:txbxContent>
                    <w:p w14:paraId="105B79DF" w14:textId="77777777" w:rsidR="0024227F" w:rsidRPr="00965325" w:rsidRDefault="0024227F" w:rsidP="009901E9">
                      <w:pPr>
                        <w:rPr>
                          <w:rFonts w:ascii="Arial" w:hAnsi="Arial" w:cs="Arial"/>
                          <w:sz w:val="16"/>
                          <w:szCs w:val="16"/>
                        </w:rPr>
                      </w:pPr>
                      <w:r>
                        <w:rPr>
                          <w:rFonts w:ascii="Arial" w:hAnsi="Arial" w:cs="Arial"/>
                          <w:sz w:val="16"/>
                          <w:szCs w:val="16"/>
                        </w:rPr>
                        <w:t>НО</w:t>
                      </w:r>
                    </w:p>
                  </w:txbxContent>
                </v:textbox>
              </v:rect>
            </w:pict>
          </mc:Fallback>
        </mc:AlternateContent>
      </w:r>
      <w:r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1144ACC6" wp14:editId="0C6FF555">
                <wp:simplePos x="0" y="0"/>
                <wp:positionH relativeFrom="column">
                  <wp:posOffset>1222798</wp:posOffset>
                </wp:positionH>
                <wp:positionV relativeFrom="paragraph">
                  <wp:posOffset>2207472</wp:posOffset>
                </wp:positionV>
                <wp:extent cx="857250" cy="245321"/>
                <wp:effectExtent l="0" t="0" r="0" b="254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453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EECED" w14:textId="77777777" w:rsidR="0024227F" w:rsidRPr="006816F6" w:rsidRDefault="0024227F" w:rsidP="009901E9">
                            <w:pPr>
                              <w:rPr>
                                <w:rFonts w:ascii="Arial" w:hAnsi="Arial" w:cs="Arial"/>
                                <w:sz w:val="16"/>
                                <w:szCs w:val="16"/>
                              </w:rPr>
                            </w:pPr>
                            <w:r>
                              <w:rPr>
                                <w:rFonts w:ascii="Arial" w:hAnsi="Arial" w:cs="Arial"/>
                                <w:sz w:val="16"/>
                                <w:szCs w:val="16"/>
                              </w:rPr>
                              <w:t>Только PSA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4ACC6" id="Rectangle 33" o:spid="_x0000_s1027" style="position:absolute;left:0;text-align:left;margin-left:96.3pt;margin-top:173.8pt;width:67.5pt;height:1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" stroked="f">
                <v:textbox>
                  <w:txbxContent>
                    <w:p w14:paraId="646EECED" w14:textId="77777777" w:rsidR="0024227F" w:rsidRPr="006816F6" w:rsidRDefault="0024227F" w:rsidP="009901E9">
                      <w:pPr>
                        <w:rPr>
                          <w:rFonts w:ascii="Arial" w:hAnsi="Arial" w:cs="Arial"/>
                          <w:sz w:val="16"/>
                          <w:szCs w:val="16"/>
                        </w:rPr>
                      </w:pPr>
                      <w:r>
                        <w:rPr>
                          <w:rFonts w:ascii="Arial" w:hAnsi="Arial" w:cs="Arial"/>
                          <w:sz w:val="16"/>
                          <w:szCs w:val="16"/>
                        </w:rPr>
                        <w:t>Только PSA</w:t>
                      </w:r>
                    </w:p>
                  </w:txbxContent>
                </v:textbox>
              </v:rect>
            </w:pict>
          </mc:Fallback>
        </mc:AlternateContent>
      </w:r>
      <w:r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40E6586E" wp14:editId="03445B05">
                <wp:simplePos x="0" y="0"/>
                <wp:positionH relativeFrom="column">
                  <wp:posOffset>26670</wp:posOffset>
                </wp:positionH>
                <wp:positionV relativeFrom="paragraph">
                  <wp:posOffset>2636943</wp:posOffset>
                </wp:positionV>
                <wp:extent cx="1390650" cy="491066"/>
                <wp:effectExtent l="0" t="0" r="0" b="4445"/>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4910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D607D" w14:textId="77777777" w:rsidR="0024227F" w:rsidRPr="00AE7863" w:rsidRDefault="0024227F" w:rsidP="009901E9">
                            <w:pPr>
                              <w:rPr>
                                <w:rFonts w:ascii="Arial" w:hAnsi="Arial" w:cs="Arial"/>
                                <w:sz w:val="16"/>
                                <w:szCs w:val="16"/>
                              </w:rPr>
                            </w:pPr>
                            <w:r w:rsidRPr="00AE7863">
                              <w:rPr>
                                <w:rFonts w:ascii="Arial" w:hAnsi="Arial" w:cs="Arial"/>
                                <w:sz w:val="16"/>
                                <w:szCs w:val="16"/>
                              </w:rPr>
                              <w:t>Поражение внутренних органов на момент включения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6586E" id="Rectangle 35" o:spid="_x0000_s1028" style="position:absolute;left:0;text-align:left;margin-left:2.1pt;margin-top:207.65pt;width:109.5pt;height:38.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" stroked="f">
                <v:textbox>
                  <w:txbxContent>
                    <w:p w14:paraId="1DCD607D" w14:textId="77777777" w:rsidR="0024227F" w:rsidRPr="00AE7863" w:rsidRDefault="0024227F" w:rsidP="009901E9">
                      <w:pPr>
                        <w:rPr>
                          <w:rFonts w:ascii="Arial" w:hAnsi="Arial" w:cs="Arial"/>
                          <w:sz w:val="16"/>
                          <w:szCs w:val="16"/>
                        </w:rPr>
                      </w:pPr>
                      <w:r w:rsidRPr="00AE7863">
                        <w:rPr>
                          <w:rFonts w:ascii="Arial" w:hAnsi="Arial" w:cs="Arial"/>
                          <w:sz w:val="16"/>
                          <w:szCs w:val="16"/>
                        </w:rPr>
                        <w:t>Поражение внутренних органов на момент включения</w:t>
                      </w:r>
                    </w:p>
                  </w:txbxContent>
                </v:textbox>
              </v:rect>
            </w:pict>
          </mc:Fallback>
        </mc:AlternateContent>
      </w:r>
      <w:r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32979375" wp14:editId="6199BBEB">
                <wp:simplePos x="0" y="0"/>
                <wp:positionH relativeFrom="column">
                  <wp:posOffset>1552575</wp:posOffset>
                </wp:positionH>
                <wp:positionV relativeFrom="paragraph">
                  <wp:posOffset>2663613</wp:posOffset>
                </wp:positionV>
                <wp:extent cx="525780" cy="247650"/>
                <wp:effectExtent l="0" t="0" r="7620" b="0"/>
                <wp:wrapNone/>
                <wp:docPr id="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953C1" w14:textId="77777777" w:rsidR="0024227F" w:rsidRPr="00B54A87" w:rsidRDefault="0024227F" w:rsidP="009901E9">
                            <w:pPr>
                              <w:rPr>
                                <w:rFonts w:ascii="Arial" w:hAnsi="Arial" w:cs="Arial"/>
                                <w:sz w:val="16"/>
                                <w:szCs w:val="16"/>
                              </w:rPr>
                            </w:pPr>
                            <w:r>
                              <w:rPr>
                                <w:rFonts w:ascii="Arial" w:hAnsi="Arial" w:cs="Arial"/>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79375" id="Rectangle 36" o:spid="_x0000_s1029" style="position:absolute;left:0;text-align:left;margin-left:122.25pt;margin-top:209.75pt;width:41.4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" stroked="f">
                <v:textbox>
                  <w:txbxContent>
                    <w:p w14:paraId="21D953C1" w14:textId="77777777" w:rsidR="0024227F" w:rsidRPr="00B54A87" w:rsidRDefault="0024227F" w:rsidP="009901E9">
                      <w:pPr>
                        <w:rPr>
                          <w:rFonts w:ascii="Arial" w:hAnsi="Arial" w:cs="Arial"/>
                          <w:sz w:val="16"/>
                          <w:szCs w:val="16"/>
                        </w:rPr>
                      </w:pPr>
                      <w:r>
                        <w:rPr>
                          <w:rFonts w:ascii="Arial" w:hAnsi="Arial" w:cs="Arial"/>
                          <w:sz w:val="16"/>
                          <w:szCs w:val="16"/>
                        </w:rPr>
                        <w:t>ДА</w:t>
                      </w:r>
                    </w:p>
                  </w:txbxContent>
                </v:textbox>
              </v:rect>
            </w:pict>
          </mc:Fallback>
        </mc:AlternateContent>
      </w:r>
      <w:r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709C7E54" wp14:editId="501A155D">
                <wp:simplePos x="0" y="0"/>
                <wp:positionH relativeFrom="column">
                  <wp:posOffset>1527175</wp:posOffset>
                </wp:positionH>
                <wp:positionV relativeFrom="paragraph">
                  <wp:posOffset>2916978</wp:posOffset>
                </wp:positionV>
                <wp:extent cx="492125" cy="211667"/>
                <wp:effectExtent l="0" t="0" r="3175" b="0"/>
                <wp:wrapNone/>
                <wp:docPr id="2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211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09655" w14:textId="77777777" w:rsidR="0024227F" w:rsidRPr="00B54A87" w:rsidRDefault="0024227F" w:rsidP="009901E9">
                            <w:pPr>
                              <w:rPr>
                                <w:rFonts w:ascii="Arial" w:hAnsi="Arial" w:cs="Arial"/>
                                <w:sz w:val="16"/>
                                <w:szCs w:val="16"/>
                              </w:rPr>
                            </w:pPr>
                            <w:r>
                              <w:rPr>
                                <w:rFonts w:ascii="Arial" w:hAnsi="Arial" w:cs="Arial"/>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C7E54" id="Rectangle 37" o:spid="_x0000_s1030" style="position:absolute;left:0;text-align:left;margin-left:120.25pt;margin-top:229.7pt;width:38.75pt;height:16.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" stroked="f">
                <v:textbox>
                  <w:txbxContent>
                    <w:p w14:paraId="7D109655" w14:textId="77777777" w:rsidR="0024227F" w:rsidRPr="00B54A87" w:rsidRDefault="0024227F" w:rsidP="009901E9">
                      <w:pPr>
                        <w:rPr>
                          <w:rFonts w:ascii="Arial" w:hAnsi="Arial" w:cs="Arial"/>
                          <w:sz w:val="16"/>
                          <w:szCs w:val="16"/>
                        </w:rPr>
                      </w:pPr>
                      <w:r>
                        <w:rPr>
                          <w:rFonts w:ascii="Arial" w:hAnsi="Arial" w:cs="Arial"/>
                          <w:sz w:val="16"/>
                          <w:szCs w:val="16"/>
                        </w:rPr>
                        <w:t>НЕТ</w:t>
                      </w:r>
                    </w:p>
                  </w:txbxContent>
                </v:textbox>
              </v:rect>
            </w:pict>
          </mc:Fallback>
        </mc:AlternateContent>
      </w:r>
      <w:r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2F424ECC" wp14:editId="38628376">
                <wp:simplePos x="0" y="0"/>
                <wp:positionH relativeFrom="column">
                  <wp:posOffset>4863465</wp:posOffset>
                </wp:positionH>
                <wp:positionV relativeFrom="paragraph">
                  <wp:posOffset>183938</wp:posOffset>
                </wp:positionV>
                <wp:extent cx="409575" cy="220134"/>
                <wp:effectExtent l="0" t="0" r="9525" b="8890"/>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0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E0490" w14:textId="77777777" w:rsidR="0024227F" w:rsidRPr="00E72DCB" w:rsidRDefault="0024227F" w:rsidP="009901E9">
                            <w:pPr>
                              <w:rPr>
                                <w:rFonts w:ascii="Arial" w:hAnsi="Arial" w:cs="Arial"/>
                                <w:sz w:val="16"/>
                                <w:szCs w:val="16"/>
                              </w:rPr>
                            </w:pPr>
                            <w:r>
                              <w:rPr>
                                <w:rFonts w:ascii="Arial" w:hAnsi="Arial" w:cs="Arial"/>
                                <w:sz w:val="16"/>
                                <w:szCs w:val="16"/>
                              </w:rPr>
                              <w:t>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24ECC" id="Rectangle 25" o:spid="_x0000_s1031" style="position:absolute;left:0;text-align:left;margin-left:382.95pt;margin-top:14.5pt;width:32.25pt;height:1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" stroked="f">
                <v:textbox>
                  <w:txbxContent>
                    <w:p w14:paraId="652E0490" w14:textId="77777777" w:rsidR="0024227F" w:rsidRPr="00E72DCB" w:rsidRDefault="0024227F" w:rsidP="009901E9">
                      <w:pPr>
                        <w:rPr>
                          <w:rFonts w:ascii="Arial" w:hAnsi="Arial" w:cs="Arial"/>
                          <w:sz w:val="16"/>
                          <w:szCs w:val="16"/>
                        </w:rPr>
                      </w:pPr>
                      <w:r>
                        <w:rPr>
                          <w:rFonts w:ascii="Arial" w:hAnsi="Arial" w:cs="Arial"/>
                          <w:sz w:val="16"/>
                          <w:szCs w:val="16"/>
                        </w:rPr>
                        <w:t>ДИ</w:t>
                      </w:r>
                    </w:p>
                  </w:txbxContent>
                </v:textbox>
              </v:rect>
            </w:pict>
          </mc:Fallback>
        </mc:AlternateContent>
      </w:r>
      <w:r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2B114960" wp14:editId="4A968C0B">
                <wp:simplePos x="0" y="0"/>
                <wp:positionH relativeFrom="column">
                  <wp:posOffset>4212802</wp:posOffset>
                </wp:positionH>
                <wp:positionV relativeFrom="paragraph">
                  <wp:posOffset>177165</wp:posOffset>
                </wp:positionV>
                <wp:extent cx="390525" cy="190500"/>
                <wp:effectExtent l="0" t="0" r="9525" b="0"/>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E4477" w14:textId="77777777" w:rsidR="0024227F" w:rsidRPr="00E72DCB" w:rsidRDefault="0024227F" w:rsidP="009901E9">
                            <w:pPr>
                              <w:rPr>
                                <w:rFonts w:ascii="Arial" w:hAnsi="Arial" w:cs="Arial"/>
                                <w:sz w:val="16"/>
                                <w:szCs w:val="16"/>
                              </w:rPr>
                            </w:pPr>
                            <w:r>
                              <w:rPr>
                                <w:rFonts w:ascii="Arial" w:hAnsi="Arial" w:cs="Arial"/>
                                <w:sz w:val="16"/>
                                <w:szCs w:val="16"/>
                              </w:rPr>
                              <w:t>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14960" id="Rectangle 24" o:spid="_x0000_s1032" style="position:absolute;left:0;text-align:left;margin-left:331.7pt;margin-top:13.95pt;width:30.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" stroked="f">
                <v:textbox>
                  <w:txbxContent>
                    <w:p w14:paraId="7E7E4477" w14:textId="77777777" w:rsidR="0024227F" w:rsidRPr="00E72DCB" w:rsidRDefault="0024227F" w:rsidP="009901E9">
                      <w:pPr>
                        <w:rPr>
                          <w:rFonts w:ascii="Arial" w:hAnsi="Arial" w:cs="Arial"/>
                          <w:sz w:val="16"/>
                          <w:szCs w:val="16"/>
                        </w:rPr>
                      </w:pPr>
                      <w:r>
                        <w:rPr>
                          <w:rFonts w:ascii="Arial" w:hAnsi="Arial" w:cs="Arial"/>
                          <w:sz w:val="16"/>
                          <w:szCs w:val="16"/>
                        </w:rPr>
                        <w:t>ОР</w:t>
                      </w:r>
                    </w:p>
                  </w:txbxContent>
                </v:textbox>
              </v:rect>
            </w:pict>
          </mc:Fallback>
        </mc:AlternateContent>
      </w:r>
      <w:r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121DC5DB" wp14:editId="0282D44D">
                <wp:simplePos x="0" y="0"/>
                <wp:positionH relativeFrom="column">
                  <wp:posOffset>1842679</wp:posOffset>
                </wp:positionH>
                <wp:positionV relativeFrom="paragraph">
                  <wp:posOffset>26489</wp:posOffset>
                </wp:positionV>
                <wp:extent cx="1314450" cy="228600"/>
                <wp:effectExtent l="0" t="0" r="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37128" w14:textId="77777777" w:rsidR="0024227F" w:rsidRPr="00E72DCB" w:rsidRDefault="0024227F" w:rsidP="009901E9">
                            <w:pPr>
                              <w:rPr>
                                <w:rFonts w:ascii="Arial" w:hAnsi="Arial" w:cs="Arial"/>
                                <w:sz w:val="16"/>
                                <w:szCs w:val="16"/>
                              </w:rPr>
                            </w:pPr>
                            <w:r>
                              <w:rPr>
                                <w:rFonts w:ascii="Arial" w:hAnsi="Arial" w:cs="Arial"/>
                                <w:sz w:val="16"/>
                                <w:szCs w:val="16"/>
                              </w:rPr>
                              <w:t>Медиана (месяцы)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DC5DB" id="Rectangle 22" o:spid="_x0000_s1033" style="position:absolute;left:0;text-align:left;margin-left:145.1pt;margin-top:2.1pt;width:103.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" stroked="f">
                <v:textbox>
                  <w:txbxContent>
                    <w:p w14:paraId="65637128" w14:textId="77777777" w:rsidR="0024227F" w:rsidRPr="00E72DCB" w:rsidRDefault="0024227F" w:rsidP="009901E9">
                      <w:pPr>
                        <w:rPr>
                          <w:rFonts w:ascii="Arial" w:hAnsi="Arial" w:cs="Arial"/>
                          <w:sz w:val="16"/>
                          <w:szCs w:val="16"/>
                        </w:rPr>
                      </w:pPr>
                      <w:r>
                        <w:rPr>
                          <w:rFonts w:ascii="Arial" w:hAnsi="Arial" w:cs="Arial"/>
                          <w:sz w:val="16"/>
                          <w:szCs w:val="16"/>
                        </w:rPr>
                        <w:t>Медиана (месяцы)</w:t>
                      </w:r>
                    </w:p>
                  </w:txbxContent>
                </v:textbox>
              </v:rect>
            </w:pict>
          </mc:Fallback>
        </mc:AlternateContent>
      </w:r>
      <w:r w:rsidR="009901E9"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73D77239" wp14:editId="0E6DC212">
                <wp:simplePos x="0" y="0"/>
                <wp:positionH relativeFrom="column">
                  <wp:posOffset>1529715</wp:posOffset>
                </wp:positionH>
                <wp:positionV relativeFrom="paragraph">
                  <wp:posOffset>461010</wp:posOffset>
                </wp:positionV>
                <wp:extent cx="409575" cy="231140"/>
                <wp:effectExtent l="0" t="0" r="9525" b="0"/>
                <wp:wrapNone/>
                <wp:docPr id="2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B0E8A" w14:textId="77777777" w:rsidR="0024227F" w:rsidRPr="00B05C74" w:rsidRDefault="0024227F" w:rsidP="009901E9">
                            <w:pPr>
                              <w:rPr>
                                <w:rFonts w:ascii="Arial" w:hAnsi="Arial" w:cs="Arial"/>
                                <w:sz w:val="16"/>
                                <w:szCs w:val="16"/>
                              </w:rPr>
                            </w:pPr>
                            <w:r>
                              <w:rPr>
                                <w:rFonts w:ascii="Arial" w:hAnsi="Arial" w:cs="Arial"/>
                                <w:sz w:val="16"/>
                                <w:szCs w:val="16"/>
                              </w:rPr>
                              <w:t>ВСЕ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7239" id="Rectangle 39" o:spid="_x0000_s1034" style="position:absolute;left:0;text-align:left;margin-left:120.45pt;margin-top:36.3pt;width:32.25pt;height:18.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" stroked="f">
                <v:textbox>
                  <w:txbxContent>
                    <w:p w14:paraId="46DB0E8A" w14:textId="77777777" w:rsidR="0024227F" w:rsidRPr="00B05C74" w:rsidRDefault="0024227F" w:rsidP="009901E9">
                      <w:pPr>
                        <w:rPr>
                          <w:rFonts w:ascii="Arial" w:hAnsi="Arial" w:cs="Arial"/>
                          <w:sz w:val="16"/>
                          <w:szCs w:val="16"/>
                        </w:rPr>
                      </w:pPr>
                      <w:r>
                        <w:rPr>
                          <w:rFonts w:ascii="Arial" w:hAnsi="Arial" w:cs="Arial"/>
                          <w:sz w:val="16"/>
                          <w:szCs w:val="16"/>
                        </w:rPr>
                        <w:t>ВСЕ</w:t>
                      </w:r>
                    </w:p>
                  </w:txbxContent>
                </v:textbox>
              </v:rect>
            </w:pict>
          </mc:Fallback>
        </mc:AlternateContent>
      </w:r>
      <w:r w:rsidR="009901E9"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354D2657" wp14:editId="3812DEB9">
                <wp:simplePos x="0" y="0"/>
                <wp:positionH relativeFrom="column">
                  <wp:posOffset>15240</wp:posOffset>
                </wp:positionH>
                <wp:positionV relativeFrom="paragraph">
                  <wp:posOffset>461010</wp:posOffset>
                </wp:positionV>
                <wp:extent cx="1295400" cy="295275"/>
                <wp:effectExtent l="0" t="0" r="0" b="9525"/>
                <wp:wrapNone/>
                <wp:docPr id="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3EADF" w14:textId="77777777" w:rsidR="0024227F" w:rsidRPr="006816F6" w:rsidRDefault="0024227F" w:rsidP="009901E9">
                            <w:pPr>
                              <w:rPr>
                                <w:rFonts w:ascii="Arial" w:hAnsi="Arial" w:cs="Arial"/>
                                <w:sz w:val="16"/>
                                <w:szCs w:val="16"/>
                              </w:rPr>
                            </w:pPr>
                            <w:r>
                              <w:rPr>
                                <w:rFonts w:ascii="Arial" w:hAnsi="Arial" w:cs="Arial"/>
                                <w:sz w:val="16"/>
                                <w:szCs w:val="16"/>
                              </w:rPr>
                              <w:t>Все участники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D2657" id="Rectangle 28" o:spid="_x0000_s1035" style="position:absolute;left:0;text-align:left;margin-left:1.2pt;margin-top:36.3pt;width:102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" stroked="f">
                <v:textbox>
                  <w:txbxContent>
                    <w:p w14:paraId="3DC3EADF" w14:textId="77777777" w:rsidR="0024227F" w:rsidRPr="006816F6" w:rsidRDefault="0024227F" w:rsidP="009901E9">
                      <w:pPr>
                        <w:rPr>
                          <w:rFonts w:ascii="Arial" w:hAnsi="Arial" w:cs="Arial"/>
                          <w:sz w:val="16"/>
                          <w:szCs w:val="16"/>
                        </w:rPr>
                      </w:pPr>
                      <w:r>
                        <w:rPr>
                          <w:rFonts w:ascii="Arial" w:hAnsi="Arial" w:cs="Arial"/>
                          <w:sz w:val="16"/>
                          <w:szCs w:val="16"/>
                        </w:rPr>
                        <w:t>Все участники</w:t>
                      </w:r>
                    </w:p>
                  </w:txbxContent>
                </v:textbox>
              </v:rect>
            </w:pict>
          </mc:Fallback>
        </mc:AlternateContent>
      </w:r>
      <w:r w:rsidR="009901E9"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7D442C1F" wp14:editId="1AB83EBB">
                <wp:simplePos x="0" y="0"/>
                <wp:positionH relativeFrom="column">
                  <wp:posOffset>920115</wp:posOffset>
                </wp:positionH>
                <wp:positionV relativeFrom="paragraph">
                  <wp:posOffset>2470785</wp:posOffset>
                </wp:positionV>
                <wp:extent cx="1162050" cy="219075"/>
                <wp:effectExtent l="0" t="0" r="0" b="9525"/>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5F85A" w14:textId="77777777" w:rsidR="0024227F" w:rsidRPr="006816F6" w:rsidRDefault="0024227F" w:rsidP="009901E9">
                            <w:pPr>
                              <w:rPr>
                                <w:rFonts w:ascii="Arial" w:hAnsi="Arial" w:cs="Arial"/>
                                <w:sz w:val="16"/>
                                <w:szCs w:val="16"/>
                              </w:rPr>
                            </w:pPr>
                            <w:r>
                              <w:rPr>
                                <w:rFonts w:ascii="Arial" w:hAnsi="Arial" w:cs="Arial"/>
                                <w:sz w:val="16"/>
                                <w:szCs w:val="16"/>
                              </w:rPr>
                              <w:t>Рентгенологическое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42C1F" id="Rectangle 34" o:spid="_x0000_s1036" style="position:absolute;left:0;text-align:left;margin-left:72.45pt;margin-top:194.55pt;width:91.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" stroked="f">
                <v:textbox>
                  <w:txbxContent>
                    <w:p w14:paraId="47C5F85A" w14:textId="77777777" w:rsidR="0024227F" w:rsidRPr="006816F6" w:rsidRDefault="0024227F" w:rsidP="009901E9">
                      <w:pPr>
                        <w:rPr>
                          <w:rFonts w:ascii="Arial" w:hAnsi="Arial" w:cs="Arial"/>
                          <w:sz w:val="16"/>
                          <w:szCs w:val="16"/>
                        </w:rPr>
                      </w:pPr>
                      <w:r>
                        <w:rPr>
                          <w:rFonts w:ascii="Arial" w:hAnsi="Arial" w:cs="Arial"/>
                          <w:sz w:val="16"/>
                          <w:szCs w:val="16"/>
                        </w:rPr>
                        <w:t>Рентгенологическое</w:t>
                      </w:r>
                    </w:p>
                  </w:txbxContent>
                </v:textbox>
              </v:rect>
            </w:pict>
          </mc:Fallback>
        </mc:AlternateContent>
      </w:r>
      <w:r w:rsidR="009901E9"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5C3C7707" wp14:editId="16AF1CF7">
                <wp:simplePos x="0" y="0"/>
                <wp:positionH relativeFrom="column">
                  <wp:posOffset>15240</wp:posOffset>
                </wp:positionH>
                <wp:positionV relativeFrom="paragraph">
                  <wp:posOffset>2089785</wp:posOffset>
                </wp:positionV>
                <wp:extent cx="1143000" cy="381000"/>
                <wp:effectExtent l="0" t="0" r="0" b="0"/>
                <wp:wrapNone/>
                <wp:docPr id="1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6FE0B" w14:textId="77777777" w:rsidR="0024227F" w:rsidRPr="006816F6" w:rsidRDefault="0024227F" w:rsidP="009901E9">
                            <w:pPr>
                              <w:rPr>
                                <w:rFonts w:ascii="Arial" w:hAnsi="Arial" w:cs="Arial"/>
                                <w:sz w:val="16"/>
                                <w:szCs w:val="16"/>
                              </w:rPr>
                            </w:pPr>
                            <w:r>
                              <w:rPr>
                                <w:rFonts w:ascii="Arial" w:hAnsi="Arial" w:cs="Arial"/>
                                <w:sz w:val="16"/>
                                <w:szCs w:val="16"/>
                              </w:rPr>
                              <w:t>Тип прогрессирования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C7707" id="Rectangle 32" o:spid="_x0000_s1037" style="position:absolute;left:0;text-align:left;margin-left:1.2pt;margin-top:164.55pt;width:90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" stroked="f">
                <v:textbox>
                  <w:txbxContent>
                    <w:p w14:paraId="7FA6FE0B" w14:textId="77777777" w:rsidR="0024227F" w:rsidRPr="006816F6" w:rsidRDefault="0024227F" w:rsidP="009901E9">
                      <w:pPr>
                        <w:rPr>
                          <w:rFonts w:ascii="Arial" w:hAnsi="Arial" w:cs="Arial"/>
                          <w:sz w:val="16"/>
                          <w:szCs w:val="16"/>
                        </w:rPr>
                      </w:pPr>
                      <w:r>
                        <w:rPr>
                          <w:rFonts w:ascii="Arial" w:hAnsi="Arial" w:cs="Arial"/>
                          <w:sz w:val="16"/>
                          <w:szCs w:val="16"/>
                        </w:rPr>
                        <w:t>Тип прогрессирования</w:t>
                      </w:r>
                    </w:p>
                  </w:txbxContent>
                </v:textbox>
              </v:rect>
            </w:pict>
          </mc:Fallback>
        </mc:AlternateContent>
      </w:r>
      <w:r w:rsidR="009901E9"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56F6E5E7" wp14:editId="58DEB545">
                <wp:simplePos x="0" y="0"/>
                <wp:positionH relativeFrom="column">
                  <wp:posOffset>15240</wp:posOffset>
                </wp:positionH>
                <wp:positionV relativeFrom="paragraph">
                  <wp:posOffset>1527810</wp:posOffset>
                </wp:positionV>
                <wp:extent cx="1362075" cy="485775"/>
                <wp:effectExtent l="0" t="0" r="9525" b="9525"/>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A4F3F" w14:textId="77777777" w:rsidR="0024227F" w:rsidRPr="006816F6" w:rsidRDefault="0024227F" w:rsidP="009901E9">
                            <w:pPr>
                              <w:rPr>
                                <w:rFonts w:ascii="Arial" w:hAnsi="Arial" w:cs="Arial"/>
                                <w:sz w:val="16"/>
                                <w:szCs w:val="16"/>
                              </w:rPr>
                            </w:pPr>
                            <w:r>
                              <w:rPr>
                                <w:rFonts w:ascii="Arial" w:hAnsi="Arial" w:cs="Arial"/>
                                <w:sz w:val="16"/>
                                <w:szCs w:val="16"/>
                              </w:rPr>
                              <w:t>Отсутствие предшествующих режимов химиотерапии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6E5E7" id="Rectangle 31" o:spid="_x0000_s1038" style="position:absolute;left:0;text-align:left;margin-left:1.2pt;margin-top:120.3pt;width:107.25pt;height:3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" stroked="f">
                <v:textbox>
                  <w:txbxContent>
                    <w:p w14:paraId="1F2A4F3F" w14:textId="77777777" w:rsidR="0024227F" w:rsidRPr="006816F6" w:rsidRDefault="0024227F" w:rsidP="009901E9">
                      <w:pPr>
                        <w:rPr>
                          <w:rFonts w:ascii="Arial" w:hAnsi="Arial" w:cs="Arial"/>
                          <w:sz w:val="16"/>
                          <w:szCs w:val="16"/>
                        </w:rPr>
                      </w:pPr>
                      <w:r>
                        <w:rPr>
                          <w:rFonts w:ascii="Arial" w:hAnsi="Arial" w:cs="Arial"/>
                          <w:sz w:val="16"/>
                          <w:szCs w:val="16"/>
                        </w:rPr>
                        <w:t>Отсутствие предшествующих режимов химиотерапии</w:t>
                      </w:r>
                    </w:p>
                  </w:txbxContent>
                </v:textbox>
              </v:rect>
            </w:pict>
          </mc:Fallback>
        </mc:AlternateContent>
      </w:r>
      <w:r w:rsidR="009901E9"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72DCF68C" wp14:editId="21EB5AF0">
                <wp:simplePos x="0" y="0"/>
                <wp:positionH relativeFrom="column">
                  <wp:posOffset>15240</wp:posOffset>
                </wp:positionH>
                <wp:positionV relativeFrom="paragraph">
                  <wp:posOffset>1184910</wp:posOffset>
                </wp:positionV>
                <wp:extent cx="1400175" cy="276225"/>
                <wp:effectExtent l="0" t="0" r="9525" b="952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EED11" w14:textId="77777777" w:rsidR="0024227F" w:rsidRPr="006816F6" w:rsidRDefault="0024227F" w:rsidP="009901E9">
                            <w:pPr>
                              <w:rPr>
                                <w:rFonts w:ascii="Arial" w:hAnsi="Arial" w:cs="Arial"/>
                                <w:sz w:val="16"/>
                                <w:szCs w:val="16"/>
                              </w:rPr>
                            </w:pPr>
                            <w:r>
                              <w:rPr>
                                <w:rFonts w:ascii="Arial" w:hAnsi="Arial" w:cs="Arial"/>
                                <w:sz w:val="16"/>
                                <w:szCs w:val="16"/>
                              </w:rPr>
                              <w:t>Исходная оценка по BPI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CF68C" id="Rectangle 30" o:spid="_x0000_s1039" style="position:absolute;left:0;text-align:left;margin-left:1.2pt;margin-top:93.3pt;width:110.2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" stroked="f">
                <v:textbox>
                  <w:txbxContent>
                    <w:p w14:paraId="625EED11" w14:textId="77777777" w:rsidR="0024227F" w:rsidRPr="006816F6" w:rsidRDefault="0024227F" w:rsidP="009901E9">
                      <w:pPr>
                        <w:rPr>
                          <w:rFonts w:ascii="Arial" w:hAnsi="Arial" w:cs="Arial"/>
                          <w:sz w:val="16"/>
                          <w:szCs w:val="16"/>
                        </w:rPr>
                      </w:pPr>
                      <w:r>
                        <w:rPr>
                          <w:rFonts w:ascii="Arial" w:hAnsi="Arial" w:cs="Arial"/>
                          <w:sz w:val="16"/>
                          <w:szCs w:val="16"/>
                        </w:rPr>
                        <w:t>Исходная оценка по BPI</w:t>
                      </w:r>
                    </w:p>
                  </w:txbxContent>
                </v:textbox>
              </v:rect>
            </w:pict>
          </mc:Fallback>
        </mc:AlternateContent>
      </w:r>
      <w:r w:rsidR="009901E9"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5D0C6940" wp14:editId="402EA1B4">
                <wp:simplePos x="0" y="0"/>
                <wp:positionH relativeFrom="column">
                  <wp:posOffset>15240</wp:posOffset>
                </wp:positionH>
                <wp:positionV relativeFrom="paragraph">
                  <wp:posOffset>756285</wp:posOffset>
                </wp:positionV>
                <wp:extent cx="1323975" cy="266700"/>
                <wp:effectExtent l="0" t="0" r="9525" b="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8608B" w14:textId="77777777" w:rsidR="0024227F" w:rsidRPr="006816F6" w:rsidRDefault="0024227F" w:rsidP="009901E9">
                            <w:pPr>
                              <w:rPr>
                                <w:rFonts w:ascii="Arial" w:hAnsi="Arial" w:cs="Arial"/>
                                <w:sz w:val="16"/>
                                <w:szCs w:val="16"/>
                              </w:rPr>
                            </w:pPr>
                            <w:r>
                              <w:rPr>
                                <w:rFonts w:ascii="Arial" w:hAnsi="Arial" w:cs="Arial"/>
                                <w:sz w:val="16"/>
                                <w:szCs w:val="16"/>
                              </w:rPr>
                              <w:t>Исходная ECOG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C6940" id="Rectangle 29" o:spid="_x0000_s1040" style="position:absolute;left:0;text-align:left;margin-left:1.2pt;margin-top:59.55pt;width:104.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" stroked="f">
                <v:textbox>
                  <w:txbxContent>
                    <w:p w14:paraId="5E78608B" w14:textId="77777777" w:rsidR="0024227F" w:rsidRPr="006816F6" w:rsidRDefault="0024227F" w:rsidP="009901E9">
                      <w:pPr>
                        <w:rPr>
                          <w:rFonts w:ascii="Arial" w:hAnsi="Arial" w:cs="Arial"/>
                          <w:sz w:val="16"/>
                          <w:szCs w:val="16"/>
                        </w:rPr>
                      </w:pPr>
                      <w:r>
                        <w:rPr>
                          <w:rFonts w:ascii="Arial" w:hAnsi="Arial" w:cs="Arial"/>
                          <w:sz w:val="16"/>
                          <w:szCs w:val="16"/>
                        </w:rPr>
                        <w:t>Исходная ECOG</w:t>
                      </w:r>
                    </w:p>
                  </w:txbxContent>
                </v:textbox>
              </v:rect>
            </w:pict>
          </mc:Fallback>
        </mc:AlternateContent>
      </w:r>
      <w:r w:rsidR="009901E9"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57FE4DFB" wp14:editId="52027CFC">
                <wp:simplePos x="0" y="0"/>
                <wp:positionH relativeFrom="column">
                  <wp:posOffset>4491990</wp:posOffset>
                </wp:positionH>
                <wp:positionV relativeFrom="paragraph">
                  <wp:posOffset>3347085</wp:posOffset>
                </wp:positionV>
                <wp:extent cx="942975" cy="352425"/>
                <wp:effectExtent l="0" t="0" r="9525" b="9525"/>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39BD7" w14:textId="77777777" w:rsidR="0024227F" w:rsidRPr="00E72DCB" w:rsidRDefault="0024227F" w:rsidP="009901E9">
                            <w:pPr>
                              <w:rPr>
                                <w:rFonts w:ascii="Arial" w:hAnsi="Arial" w:cs="Arial"/>
                                <w:sz w:val="16"/>
                                <w:szCs w:val="16"/>
                              </w:rPr>
                            </w:pPr>
                            <w:r>
                              <w:rPr>
                                <w:rFonts w:ascii="Arial" w:hAnsi="Arial" w:cs="Arial"/>
                                <w:sz w:val="16"/>
                                <w:szCs w:val="16"/>
                              </w:rPr>
                              <w:t>В пользу плацебо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E4DFB" id="Rectangle 27" o:spid="_x0000_s1041" style="position:absolute;left:0;text-align:left;margin-left:353.7pt;margin-top:263.55pt;width:74.2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" stroked="f">
                <v:textbox>
                  <w:txbxContent>
                    <w:p w14:paraId="25A39BD7" w14:textId="77777777" w:rsidR="0024227F" w:rsidRPr="00E72DCB" w:rsidRDefault="0024227F" w:rsidP="009901E9">
                      <w:pPr>
                        <w:rPr>
                          <w:rFonts w:ascii="Arial" w:hAnsi="Arial" w:cs="Arial"/>
                          <w:sz w:val="16"/>
                          <w:szCs w:val="16"/>
                        </w:rPr>
                      </w:pPr>
                      <w:r>
                        <w:rPr>
                          <w:rFonts w:ascii="Arial" w:hAnsi="Arial" w:cs="Arial"/>
                          <w:sz w:val="16"/>
                          <w:szCs w:val="16"/>
                        </w:rPr>
                        <w:t>В пользу плацебо</w:t>
                      </w:r>
                    </w:p>
                  </w:txbxContent>
                </v:textbox>
              </v:rect>
            </w:pict>
          </mc:Fallback>
        </mc:AlternateContent>
      </w:r>
      <w:r w:rsidR="009901E9"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4481B17A" wp14:editId="09DC185A">
                <wp:simplePos x="0" y="0"/>
                <wp:positionH relativeFrom="column">
                  <wp:posOffset>1939290</wp:posOffset>
                </wp:positionH>
                <wp:positionV relativeFrom="paragraph">
                  <wp:posOffset>3394710</wp:posOffset>
                </wp:positionV>
                <wp:extent cx="828675" cy="304800"/>
                <wp:effectExtent l="0" t="0" r="9525" b="0"/>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33D17" w14:textId="77777777" w:rsidR="0024227F" w:rsidRPr="00E72DCB" w:rsidRDefault="0024227F" w:rsidP="009901E9">
                            <w:pPr>
                              <w:rPr>
                                <w:rFonts w:ascii="Arial" w:hAnsi="Arial" w:cs="Arial"/>
                                <w:sz w:val="16"/>
                                <w:szCs w:val="16"/>
                              </w:rPr>
                            </w:pPr>
                            <w:r>
                              <w:rPr>
                                <w:rFonts w:ascii="Arial" w:hAnsi="Arial" w:cs="Arial"/>
                                <w:sz w:val="16"/>
                                <w:szCs w:val="16"/>
                              </w:rPr>
                              <w:t>В пользу АА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1B17A" id="Rectangle 26" o:spid="_x0000_s1042" style="position:absolute;left:0;text-align:left;margin-left:152.7pt;margin-top:267.3pt;width:65.2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" stroked="f">
                <v:textbox>
                  <w:txbxContent>
                    <w:p w14:paraId="26533D17" w14:textId="77777777" w:rsidR="0024227F" w:rsidRPr="00E72DCB" w:rsidRDefault="0024227F" w:rsidP="009901E9">
                      <w:pPr>
                        <w:rPr>
                          <w:rFonts w:ascii="Arial" w:hAnsi="Arial" w:cs="Arial"/>
                          <w:sz w:val="16"/>
                          <w:szCs w:val="16"/>
                        </w:rPr>
                      </w:pPr>
                      <w:r>
                        <w:rPr>
                          <w:rFonts w:ascii="Arial" w:hAnsi="Arial" w:cs="Arial"/>
                          <w:sz w:val="16"/>
                          <w:szCs w:val="16"/>
                        </w:rPr>
                        <w:t>В пользу АА</w:t>
                      </w:r>
                    </w:p>
                  </w:txbxContent>
                </v:textbox>
              </v:rect>
            </w:pict>
          </mc:Fallback>
        </mc:AlternateContent>
      </w:r>
      <w:r w:rsidR="009901E9"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6B0C4A1A" wp14:editId="5183C5EC">
                <wp:simplePos x="0" y="0"/>
                <wp:positionH relativeFrom="column">
                  <wp:posOffset>1091565</wp:posOffset>
                </wp:positionH>
                <wp:positionV relativeFrom="paragraph">
                  <wp:posOffset>137160</wp:posOffset>
                </wp:positionV>
                <wp:extent cx="847725" cy="257175"/>
                <wp:effectExtent l="0" t="0" r="9525" b="952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3A2C3" w14:textId="77777777" w:rsidR="0024227F" w:rsidRPr="00E72DCB" w:rsidRDefault="0024227F" w:rsidP="009901E9">
                            <w:pPr>
                              <w:rPr>
                                <w:rFonts w:ascii="Arial" w:hAnsi="Arial" w:cs="Arial"/>
                                <w:sz w:val="16"/>
                                <w:szCs w:val="16"/>
                              </w:rPr>
                            </w:pPr>
                            <w:r>
                              <w:rPr>
                                <w:rFonts w:ascii="Arial" w:hAnsi="Arial" w:cs="Arial"/>
                                <w:sz w:val="16"/>
                                <w:szCs w:val="16"/>
                              </w:rPr>
                              <w:t>Подгруппа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C4A1A" id="Rectangle 21" o:spid="_x0000_s1043" style="position:absolute;left:0;text-align:left;margin-left:85.95pt;margin-top:10.8pt;width:66.7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" stroked="f">
                <v:textbox>
                  <w:txbxContent>
                    <w:p w14:paraId="1233A2C3" w14:textId="77777777" w:rsidR="0024227F" w:rsidRPr="00E72DCB" w:rsidRDefault="0024227F" w:rsidP="009901E9">
                      <w:pPr>
                        <w:rPr>
                          <w:rFonts w:ascii="Arial" w:hAnsi="Arial" w:cs="Arial"/>
                          <w:sz w:val="16"/>
                          <w:szCs w:val="16"/>
                        </w:rPr>
                      </w:pPr>
                      <w:r>
                        <w:rPr>
                          <w:rFonts w:ascii="Arial" w:hAnsi="Arial" w:cs="Arial"/>
                          <w:sz w:val="16"/>
                          <w:szCs w:val="16"/>
                        </w:rPr>
                        <w:t>Подгруппа</w:t>
                      </w:r>
                    </w:p>
                  </w:txbxContent>
                </v:textbox>
              </v:rect>
            </w:pict>
          </mc:Fallback>
        </mc:AlternateContent>
      </w:r>
      <w:r w:rsidR="009901E9" w:rsidRPr="00E22DDB">
        <w:rPr>
          <w:rFonts w:ascii="Times New Roman" w:eastAsia="Batang"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474CDFF3" wp14:editId="6B3858B9">
                <wp:simplePos x="0" y="0"/>
                <wp:positionH relativeFrom="column">
                  <wp:posOffset>72390</wp:posOffset>
                </wp:positionH>
                <wp:positionV relativeFrom="paragraph">
                  <wp:posOffset>137160</wp:posOffset>
                </wp:positionV>
                <wp:extent cx="847725" cy="257175"/>
                <wp:effectExtent l="0" t="0" r="9525" b="9525"/>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D5418" w14:textId="77777777" w:rsidR="0024227F" w:rsidRPr="00E72DCB" w:rsidRDefault="0024227F" w:rsidP="009901E9">
                            <w:pPr>
                              <w:rPr>
                                <w:rFonts w:ascii="Arial" w:hAnsi="Arial" w:cs="Arial"/>
                                <w:sz w:val="16"/>
                                <w:szCs w:val="16"/>
                              </w:rPr>
                            </w:pPr>
                            <w:r>
                              <w:rPr>
                                <w:rFonts w:ascii="Arial" w:hAnsi="Arial" w:cs="Arial"/>
                                <w:sz w:val="16"/>
                                <w:szCs w:val="16"/>
                              </w:rPr>
                              <w:t>Переменная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CDFF3" id="Rectangle 20" o:spid="_x0000_s1044" style="position:absolute;left:0;text-align:left;margin-left:5.7pt;margin-top:10.8pt;width:66.7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" stroked="f">
                <v:textbox>
                  <w:txbxContent>
                    <w:p w14:paraId="7ACD5418" w14:textId="77777777" w:rsidR="0024227F" w:rsidRPr="00E72DCB" w:rsidRDefault="0024227F" w:rsidP="009901E9">
                      <w:pPr>
                        <w:rPr>
                          <w:rFonts w:ascii="Arial" w:hAnsi="Arial" w:cs="Arial"/>
                          <w:sz w:val="16"/>
                          <w:szCs w:val="16"/>
                        </w:rPr>
                      </w:pPr>
                      <w:r>
                        <w:rPr>
                          <w:rFonts w:ascii="Arial" w:hAnsi="Arial" w:cs="Arial"/>
                          <w:sz w:val="16"/>
                          <w:szCs w:val="16"/>
                        </w:rPr>
                        <w:t>Переменная</w:t>
                      </w:r>
                    </w:p>
                  </w:txbxContent>
                </v:textbox>
              </v:rect>
            </w:pict>
          </mc:Fallback>
        </mc:AlternateContent>
      </w:r>
      <w:r w:rsidR="009901E9" w:rsidRPr="00E22DDB">
        <w:rPr>
          <w:rFonts w:ascii="Times New Roman" w:eastAsia="TimesNewRoman" w:hAnsi="Times New Roman" w:cs="Times New Roman"/>
          <w:noProof/>
          <w:sz w:val="24"/>
          <w:szCs w:val="24"/>
          <w:lang w:eastAsia="ru-RU"/>
        </w:rPr>
        <w:drawing>
          <wp:inline distT="0" distB="0" distL="0" distR="0" wp14:anchorId="6BB09D2D" wp14:editId="718ABDCE">
            <wp:extent cx="5762625" cy="3771900"/>
            <wp:effectExtent l="0" t="0" r="9525" b="0"/>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771900"/>
                    </a:xfrm>
                    <a:prstGeom prst="rect">
                      <a:avLst/>
                    </a:prstGeom>
                    <a:noFill/>
                    <a:ln>
                      <a:noFill/>
                    </a:ln>
                  </pic:spPr>
                </pic:pic>
              </a:graphicData>
            </a:graphic>
          </wp:inline>
        </w:drawing>
      </w:r>
    </w:p>
    <w:p w14:paraId="6000DDF8"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0"/>
          <w:szCs w:val="20"/>
          <w:lang w:eastAsia="ru-RU"/>
        </w:rPr>
      </w:pPr>
      <w:r w:rsidRPr="00E22DDB">
        <w:rPr>
          <w:rFonts w:ascii="Times New Roman" w:eastAsia="TimesNewRoman" w:hAnsi="Times New Roman" w:cs="Times New Roman"/>
          <w:sz w:val="20"/>
          <w:szCs w:val="20"/>
          <w:lang w:eastAsia="ru-RU"/>
        </w:rPr>
        <w:t xml:space="preserve">AA = </w:t>
      </w:r>
      <w:r w:rsidR="00576AAC" w:rsidRPr="00E22DDB">
        <w:rPr>
          <w:rFonts w:ascii="Times New Roman" w:eastAsia="TimesNewRoman" w:hAnsi="Times New Roman" w:cs="Times New Roman"/>
          <w:sz w:val="20"/>
          <w:szCs w:val="20"/>
          <w:lang w:eastAsia="ru-RU"/>
        </w:rPr>
        <w:t>Абиратерона ацетат</w:t>
      </w:r>
      <w:r w:rsidRPr="00E22DDB">
        <w:rPr>
          <w:rFonts w:ascii="Times New Roman" w:eastAsia="TimesNewRoman" w:hAnsi="Times New Roman" w:cs="Times New Roman"/>
          <w:sz w:val="20"/>
          <w:szCs w:val="20"/>
          <w:lang w:eastAsia="ru-RU"/>
        </w:rPr>
        <w:t>; BPI = Краткий опросник оценки боли; ДИ = доверительный интервал; ECOG= балльная оценка функционирования по классификации Восточной Объединенной онкологической группы (Eastern Cooperative Oncology Group); ОР = отношение рисков; НО = не поддающийся оценке</w:t>
      </w:r>
    </w:p>
    <w:p w14:paraId="1C506A02"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p>
    <w:p w14:paraId="53FF8C51"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 дополнение к наблюдавшемуся улучшению общей выживаемости все вторичные конечные точки исследования были в пользу </w:t>
      </w:r>
      <w:r w:rsidR="00576AAC" w:rsidRPr="00E22DDB">
        <w:rPr>
          <w:rFonts w:ascii="Times New Roman" w:eastAsia="TimesNewRoman" w:hAnsi="Times New Roman" w:cs="Times New Roman"/>
          <w:sz w:val="24"/>
          <w:szCs w:val="24"/>
          <w:lang w:eastAsia="ru-RU"/>
        </w:rPr>
        <w:t>абиратерона</w:t>
      </w:r>
      <w:r w:rsidRPr="00E22DDB">
        <w:rPr>
          <w:rFonts w:ascii="Times New Roman" w:eastAsia="TimesNewRoman" w:hAnsi="Times New Roman" w:cs="Times New Roman"/>
          <w:sz w:val="24"/>
          <w:szCs w:val="24"/>
          <w:lang w:eastAsia="ru-RU"/>
        </w:rPr>
        <w:t xml:space="preserve"> и являлись статистически достоверными после коррекции по многочисленным тестированиям, как указано ниже:</w:t>
      </w:r>
    </w:p>
    <w:p w14:paraId="0DB6E51B"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Пациенты, получавшие </w:t>
      </w:r>
      <w:r w:rsidR="00576AAC" w:rsidRPr="00E22DDB">
        <w:rPr>
          <w:rFonts w:ascii="Times New Roman" w:eastAsia="TimesNewRoman" w:hAnsi="Times New Roman" w:cs="Times New Roman"/>
          <w:sz w:val="24"/>
          <w:szCs w:val="24"/>
          <w:lang w:eastAsia="ru-RU"/>
        </w:rPr>
        <w:t>абиратерон</w:t>
      </w:r>
      <w:r w:rsidRPr="00E22DDB">
        <w:rPr>
          <w:rFonts w:ascii="Times New Roman" w:eastAsia="TimesNewRoman" w:hAnsi="Times New Roman" w:cs="Times New Roman"/>
          <w:sz w:val="24"/>
          <w:szCs w:val="24"/>
          <w:lang w:eastAsia="ru-RU"/>
        </w:rPr>
        <w:t xml:space="preserve">, демонстрировали достоверно более высокую частоту ответа со стороны общего </w:t>
      </w:r>
      <w:r w:rsidR="00576AAC" w:rsidRPr="00E22DDB">
        <w:rPr>
          <w:rFonts w:ascii="Times New Roman" w:eastAsia="TimesNewRoman" w:hAnsi="Times New Roman" w:cs="Times New Roman"/>
          <w:sz w:val="24"/>
          <w:szCs w:val="24"/>
          <w:lang w:eastAsia="ru-RU"/>
        </w:rPr>
        <w:t>PSA (определяемого как снижение</w:t>
      </w:r>
      <w:r w:rsidRPr="00E22DDB">
        <w:rPr>
          <w:rFonts w:ascii="Times New Roman" w:eastAsia="TimesNewRoman" w:hAnsi="Times New Roman" w:cs="Times New Roman"/>
          <w:sz w:val="24"/>
          <w:szCs w:val="24"/>
          <w:lang w:eastAsia="ru-RU"/>
        </w:rPr>
        <w:t xml:space="preserve"> ≥ на 50% от исходного значения) по сравнению в пациентами, получавшими плацебо – 38% в сравнении с 10% (p &lt; 0.0001).</w:t>
      </w:r>
    </w:p>
    <w:p w14:paraId="3C8002F1"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Медиана времени до прогрессирования PSA составляла 10.2 месяцев у пациентов, пролеченных </w:t>
      </w:r>
      <w:r w:rsidR="00576AAC" w:rsidRPr="00E22DDB">
        <w:rPr>
          <w:rFonts w:ascii="Times New Roman" w:eastAsia="TimesNewRoman" w:hAnsi="Times New Roman" w:cs="Times New Roman"/>
          <w:sz w:val="24"/>
          <w:szCs w:val="24"/>
          <w:lang w:eastAsia="ru-RU"/>
        </w:rPr>
        <w:t>абиратерон</w:t>
      </w:r>
      <w:r w:rsidRPr="00E22DDB">
        <w:rPr>
          <w:rFonts w:ascii="Times New Roman" w:eastAsia="TimesNewRoman" w:hAnsi="Times New Roman" w:cs="Times New Roman"/>
          <w:sz w:val="24"/>
          <w:szCs w:val="24"/>
          <w:lang w:eastAsia="ru-RU"/>
        </w:rPr>
        <w:t>, и 6.6 месяцев у пациентов, пролеченных плацебо (ОР=0.580; 95% ДИ: [0.462; 0.728], p &lt; 0.0001).</w:t>
      </w:r>
    </w:p>
    <w:p w14:paraId="15FDB1FE"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Медиана выживаемости без рентгенологического прогрессирования составляла 5.6 месяцев у пациентов, пролеченных </w:t>
      </w:r>
      <w:r w:rsidR="00576AAC"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и 3.6 месяцев у пациентов, которые получали плацебо (ОР</w:t>
      </w:r>
      <w:r w:rsidRPr="00E22DDB">
        <w:rPr>
          <w:rFonts w:ascii="Times New Roman" w:eastAsia="TimesNewRoman,Bold" w:hAnsi="Times New Roman" w:cs="Times New Roman"/>
          <w:b/>
          <w:bCs/>
          <w:sz w:val="24"/>
          <w:szCs w:val="24"/>
          <w:lang w:eastAsia="ru-RU"/>
        </w:rPr>
        <w:t>=</w:t>
      </w:r>
      <w:r w:rsidRPr="00E22DDB">
        <w:rPr>
          <w:rFonts w:ascii="Times New Roman" w:eastAsia="TimesNewRoman" w:hAnsi="Times New Roman" w:cs="Times New Roman"/>
          <w:sz w:val="24"/>
          <w:szCs w:val="24"/>
          <w:lang w:eastAsia="ru-RU"/>
        </w:rPr>
        <w:t>0.673; 95% ДИ: [0.585; 0.776], p &lt; 0.0001).</w:t>
      </w:r>
    </w:p>
    <w:p w14:paraId="40A219F7"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i/>
          <w:sz w:val="24"/>
          <w:szCs w:val="24"/>
          <w:lang w:eastAsia="ru-RU"/>
        </w:rPr>
      </w:pPr>
      <w:r w:rsidRPr="00E22DDB">
        <w:rPr>
          <w:rFonts w:ascii="Times New Roman" w:eastAsia="TimesNewRoman" w:hAnsi="Times New Roman" w:cs="Times New Roman"/>
          <w:i/>
          <w:sz w:val="24"/>
          <w:szCs w:val="24"/>
          <w:lang w:eastAsia="ru-RU"/>
        </w:rPr>
        <w:t>Боль</w:t>
      </w:r>
    </w:p>
    <w:p w14:paraId="25CAF784"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Количество пациентов, у которых отмечалось временное облегчение боли, было статистически достоверно выше в группе </w:t>
      </w:r>
      <w:r w:rsidR="00576AAC" w:rsidRPr="00E22DDB">
        <w:rPr>
          <w:rFonts w:ascii="Times New Roman" w:eastAsia="TimesNewRoman" w:hAnsi="Times New Roman" w:cs="Times New Roman"/>
          <w:sz w:val="24"/>
          <w:szCs w:val="24"/>
          <w:lang w:eastAsia="ru-RU"/>
        </w:rPr>
        <w:t>абиратерона</w:t>
      </w:r>
      <w:r w:rsidRPr="00E22DDB">
        <w:rPr>
          <w:rFonts w:ascii="Times New Roman" w:eastAsia="TimesNewRoman" w:hAnsi="Times New Roman" w:cs="Times New Roman"/>
          <w:sz w:val="24"/>
          <w:szCs w:val="24"/>
          <w:lang w:eastAsia="ru-RU"/>
        </w:rPr>
        <w:t>, чем в группе плацебо (44% в сравнении с 27%, р=0.0002). Ответивший на временное облегчение боли определялся как пациент, который отметил снижение интенсивности наиболее выраженной боли как минимум на 30% при балльной оценке по опроснику BPI-SF в течение последних 24 часов без любого увеличения показателя балльной оценки потребления аналгетиков, наблюдавшееся при двух последовательных оценках с интервалом в четыре недели. На предмет временного облегчения боли были проанализированы только пациенты с исходной балльной оценкой боли ≥ 4 и с наличием данных о как минимум одной балльной оценке боли после исходной (N=512).</w:t>
      </w:r>
    </w:p>
    <w:p w14:paraId="7686542C"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Прогрессирование боли отмечалось у меньшего количества пациентов, пролеченных </w:t>
      </w:r>
      <w:r w:rsidR="00576AAC"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xml:space="preserve">, в сравнении с пациентами, принимавшими плацебо, через 6 (22% в сравнении с 28%), 12 (30% в сравнении с 38%) и 18 месяцев (35% в сравнении с 46%). </w:t>
      </w:r>
      <w:r w:rsidRPr="00E22DDB">
        <w:rPr>
          <w:rFonts w:ascii="Times New Roman" w:eastAsia="TimesNewRoman" w:hAnsi="Times New Roman" w:cs="Times New Roman"/>
          <w:sz w:val="24"/>
          <w:szCs w:val="24"/>
          <w:lang w:eastAsia="ru-RU"/>
        </w:rPr>
        <w:lastRenderedPageBreak/>
        <w:t xml:space="preserve">Прогрессирование боли определялось как повышение интенсивности наиболее выраженной боли ≥ на 30% при балльной оценке по опроснику BPI-SF в течение предшествующих 24 часов без снижения показателя балльной оценки потребления аналгетиков, наблюдавшееся при двух последовательных визитах, или повышение показателя балльной оценки потребления аналгетиков ≥ на 30%, наблюдавшееся при двух последовательных визитах. Время до прогрессирования боли на уровне 25-го перцентиля составляло 7.4 месяцев в группе </w:t>
      </w:r>
      <w:r w:rsidR="00576AAC" w:rsidRPr="00E22DDB">
        <w:rPr>
          <w:rFonts w:ascii="Times New Roman" w:eastAsia="TimesNewRoman" w:hAnsi="Times New Roman" w:cs="Times New Roman"/>
          <w:sz w:val="24"/>
          <w:szCs w:val="24"/>
          <w:lang w:eastAsia="ru-RU"/>
        </w:rPr>
        <w:t>абиратерона</w:t>
      </w:r>
      <w:r w:rsidRPr="00E22DDB">
        <w:rPr>
          <w:rFonts w:ascii="Times New Roman" w:eastAsia="TimesNewRoman" w:hAnsi="Times New Roman" w:cs="Times New Roman"/>
          <w:sz w:val="24"/>
          <w:szCs w:val="24"/>
          <w:lang w:eastAsia="ru-RU"/>
        </w:rPr>
        <w:t xml:space="preserve"> в сравнении с 4.7 месяцев в группе плацебо.</w:t>
      </w:r>
    </w:p>
    <w:p w14:paraId="1A58184B"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i/>
          <w:sz w:val="24"/>
          <w:szCs w:val="24"/>
          <w:lang w:eastAsia="ru-RU"/>
        </w:rPr>
      </w:pPr>
      <w:r w:rsidRPr="00E22DDB">
        <w:rPr>
          <w:rFonts w:ascii="Times New Roman" w:eastAsia="TimesNewRoman" w:hAnsi="Times New Roman" w:cs="Times New Roman"/>
          <w:i/>
          <w:sz w:val="24"/>
          <w:szCs w:val="24"/>
          <w:lang w:eastAsia="ru-RU"/>
        </w:rPr>
        <w:t>Костные осложнения</w:t>
      </w:r>
    </w:p>
    <w:p w14:paraId="40A8B5E9"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Костные осложнения отмечались у меньшего количества пациентов в группе </w:t>
      </w:r>
      <w:r w:rsidR="00CD2DC4" w:rsidRPr="00E22DDB">
        <w:rPr>
          <w:rFonts w:ascii="Times New Roman" w:eastAsia="TimesNewRoman" w:hAnsi="Times New Roman" w:cs="Times New Roman"/>
          <w:sz w:val="24"/>
          <w:szCs w:val="24"/>
          <w:lang w:eastAsia="ru-RU"/>
        </w:rPr>
        <w:t>абиратерона</w:t>
      </w:r>
      <w:r w:rsidRPr="00E22DDB">
        <w:rPr>
          <w:rFonts w:ascii="Times New Roman" w:eastAsia="TimesNewRoman" w:hAnsi="Times New Roman" w:cs="Times New Roman"/>
          <w:sz w:val="24"/>
          <w:szCs w:val="24"/>
          <w:lang w:eastAsia="ru-RU"/>
        </w:rPr>
        <w:t xml:space="preserve"> по сравнению с группой плацебо через 6 месяцев (18% в сравнении с 28%), 12 месяцев (30% в сравнении с 40%) и 18 месяцев (35% в сравнении с 40%). Время до возникновения первого костного осложнения на уровне 25-го перцентиля в группе </w:t>
      </w:r>
      <w:r w:rsidR="00CD2DC4" w:rsidRPr="00E22DDB">
        <w:rPr>
          <w:rFonts w:ascii="Times New Roman" w:eastAsia="TimesNewRoman" w:hAnsi="Times New Roman" w:cs="Times New Roman"/>
          <w:sz w:val="24"/>
          <w:szCs w:val="24"/>
          <w:lang w:eastAsia="ru-RU"/>
        </w:rPr>
        <w:t>абиратерона</w:t>
      </w:r>
      <w:r w:rsidRPr="00E22DDB">
        <w:rPr>
          <w:rFonts w:ascii="Times New Roman" w:eastAsia="TimesNewRoman" w:hAnsi="Times New Roman" w:cs="Times New Roman"/>
          <w:sz w:val="24"/>
          <w:szCs w:val="24"/>
          <w:lang w:eastAsia="ru-RU"/>
        </w:rPr>
        <w:t xml:space="preserve"> было в два раза больше, чем в контрольной группе: 9.9 месяцев в сравнении с 4.9 месяцев. Костное осложнение определялось как патологический перелом, компрессия спинного мозга, паллиативное облучение кости или хирургическое вмешательство на кости. </w:t>
      </w:r>
    </w:p>
    <w:p w14:paraId="23577C1F"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i/>
          <w:sz w:val="24"/>
          <w:szCs w:val="24"/>
          <w:lang w:eastAsia="ru-RU"/>
        </w:rPr>
      </w:pPr>
      <w:r w:rsidRPr="00E22DDB">
        <w:rPr>
          <w:rFonts w:ascii="Times New Roman" w:eastAsia="TimesNewRoman" w:hAnsi="Times New Roman" w:cs="Times New Roman"/>
          <w:i/>
          <w:sz w:val="24"/>
          <w:szCs w:val="24"/>
          <w:lang w:eastAsia="ru-RU"/>
        </w:rPr>
        <w:t>Педиатрическая популяция</w:t>
      </w:r>
    </w:p>
    <w:p w14:paraId="6E4167E2"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Европейское агентство лекарственных средств освободило от обязательства предоставлять результаты исследований с </w:t>
      </w:r>
      <w:r w:rsidR="00CD2DC4" w:rsidRPr="00E22DDB">
        <w:rPr>
          <w:rFonts w:ascii="Times New Roman" w:eastAsia="TimesNewRoman" w:hAnsi="Times New Roman" w:cs="Times New Roman"/>
          <w:sz w:val="24"/>
          <w:szCs w:val="24"/>
          <w:lang w:eastAsia="ru-RU"/>
        </w:rPr>
        <w:t>абиратероном</w:t>
      </w:r>
      <w:r w:rsidRPr="00E22DDB">
        <w:rPr>
          <w:rFonts w:ascii="Times New Roman" w:eastAsia="TimesNewRoman" w:hAnsi="Times New Roman" w:cs="Times New Roman"/>
          <w:sz w:val="24"/>
          <w:szCs w:val="24"/>
          <w:lang w:eastAsia="ru-RU"/>
        </w:rPr>
        <w:t xml:space="preserve"> во всех подгруппах педиатрической популяции при распространенном раке предстательной железы.</w:t>
      </w:r>
    </w:p>
    <w:p w14:paraId="5E3B32E6" w14:textId="77777777" w:rsidR="00A72229" w:rsidRPr="00E22DDB" w:rsidRDefault="00A72229" w:rsidP="00F333E6">
      <w:pPr>
        <w:spacing w:before="240"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5.</w:t>
      </w:r>
      <w:r w:rsidR="003671EF" w:rsidRPr="00E22DDB">
        <w:rPr>
          <w:rFonts w:ascii="Times New Roman" w:hAnsi="Times New Roman" w:cs="Times New Roman"/>
          <w:b/>
          <w:sz w:val="24"/>
          <w:szCs w:val="24"/>
        </w:rPr>
        <w:t>2. Фармакокинетические свойства</w:t>
      </w:r>
    </w:p>
    <w:p w14:paraId="201C8DAE" w14:textId="7724FF1C" w:rsidR="0051654E" w:rsidRPr="00E22DDB" w:rsidRDefault="0051654E" w:rsidP="00701A32">
      <w:pPr>
        <w:keepNext/>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lang w:val="x-none"/>
        </w:rPr>
        <w:t xml:space="preserve">Фармакокинетика абиратерона ацетата и абиратерона была изучена у здоровых, у больных с поздними стадиями метастатического рака предстательной железы и у неонкологических пациентов, с почечной или печеночной недостаточностью. Абиратерона ацетат </w:t>
      </w:r>
      <w:r w:rsidRPr="00E22DDB">
        <w:rPr>
          <w:rFonts w:ascii="Times New Roman" w:eastAsia="Times New Roman" w:hAnsi="Times New Roman" w:cs="Times New Roman"/>
          <w:i/>
          <w:sz w:val="24"/>
          <w:szCs w:val="24"/>
          <w:lang w:val="x-none"/>
        </w:rPr>
        <w:t>in vivo</w:t>
      </w:r>
      <w:r w:rsidRPr="00E22DDB">
        <w:rPr>
          <w:rFonts w:ascii="Times New Roman" w:eastAsia="Times New Roman" w:hAnsi="Times New Roman" w:cs="Times New Roman"/>
          <w:sz w:val="24"/>
          <w:szCs w:val="24"/>
          <w:lang w:val="x-none"/>
        </w:rPr>
        <w:t xml:space="preserve"> быстро превращается в абиратерон, который является ингибитором биосинтеза андрогенов</w:t>
      </w:r>
      <w:r w:rsidR="007E2E34" w:rsidRPr="00E22DDB">
        <w:rPr>
          <w:rFonts w:ascii="Times New Roman" w:eastAsia="Times New Roman" w:hAnsi="Times New Roman" w:cs="Times New Roman"/>
          <w:sz w:val="24"/>
          <w:szCs w:val="24"/>
        </w:rPr>
        <w:t xml:space="preserve"> (см. раздел 5.1)</w:t>
      </w:r>
      <w:r w:rsidRPr="00E22DDB">
        <w:rPr>
          <w:rFonts w:ascii="Times New Roman" w:eastAsia="Times New Roman" w:hAnsi="Times New Roman" w:cs="Times New Roman"/>
          <w:sz w:val="24"/>
          <w:szCs w:val="24"/>
          <w:lang w:val="x-none"/>
        </w:rPr>
        <w:t>.</w:t>
      </w:r>
    </w:p>
    <w:p w14:paraId="027403D0" w14:textId="77777777" w:rsidR="005D15DC" w:rsidRPr="00E22DDB" w:rsidRDefault="00F333E6" w:rsidP="00701A32">
      <w:pPr>
        <w:spacing w:after="0" w:line="240" w:lineRule="auto"/>
        <w:jc w:val="both"/>
        <w:rPr>
          <w:rFonts w:ascii="Times New Roman" w:eastAsia="Calibri" w:hAnsi="Times New Roman" w:cs="Times New Roman"/>
          <w:i/>
          <w:iCs/>
          <w:sz w:val="24"/>
          <w:szCs w:val="24"/>
          <w:lang w:bidi="ar-IQ"/>
        </w:rPr>
      </w:pPr>
      <w:r w:rsidRPr="00E22DDB">
        <w:rPr>
          <w:rFonts w:ascii="Times New Roman" w:eastAsia="Calibri" w:hAnsi="Times New Roman" w:cs="Times New Roman"/>
          <w:i/>
          <w:iCs/>
          <w:sz w:val="24"/>
          <w:szCs w:val="24"/>
          <w:lang w:bidi="ar-IQ"/>
        </w:rPr>
        <w:t>Абсорбция</w:t>
      </w:r>
    </w:p>
    <w:p w14:paraId="37C2ED7F" w14:textId="7304CFB0" w:rsidR="0051654E" w:rsidRPr="00E22DDB" w:rsidRDefault="0051654E" w:rsidP="00701A3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При пероральном приёме абиратерона ацетата натощак, время достижения максимальной концентрации в плазме крови составляет 2 часа.</w:t>
      </w:r>
    </w:p>
    <w:p w14:paraId="4C1DFE0D" w14:textId="1AA08D13" w:rsidR="0051654E" w:rsidRPr="00E22DDB" w:rsidRDefault="0051654E" w:rsidP="00701A32">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Приём абиратерона ацетата с пищей, по сравнению с приёмом данного препарата натощак, приводит к 10-кратному увеличению площади под кривой «концентрация-время» (</w:t>
      </w:r>
      <w:r w:rsidRPr="00E22DDB">
        <w:rPr>
          <w:rFonts w:ascii="Times New Roman" w:eastAsia="Times New Roman" w:hAnsi="Times New Roman" w:cs="Times New Roman"/>
          <w:sz w:val="24"/>
          <w:szCs w:val="24"/>
          <w:lang w:val="en-US"/>
        </w:rPr>
        <w:t>AUC</w:t>
      </w:r>
      <w:r w:rsidRPr="00E22DDB">
        <w:rPr>
          <w:rFonts w:ascii="Times New Roman" w:eastAsia="Times New Roman" w:hAnsi="Times New Roman" w:cs="Times New Roman"/>
          <w:sz w:val="24"/>
          <w:szCs w:val="24"/>
        </w:rPr>
        <w:t>) и 17-кратному увеличению максимальной концентрации (</w:t>
      </w:r>
      <w:r w:rsidRPr="00E22DDB">
        <w:rPr>
          <w:rFonts w:ascii="Times New Roman" w:eastAsia="Times New Roman" w:hAnsi="Times New Roman" w:cs="Times New Roman"/>
          <w:sz w:val="24"/>
          <w:szCs w:val="24"/>
          <w:lang w:val="en-US"/>
        </w:rPr>
        <w:t>C</w:t>
      </w:r>
      <w:r w:rsidRPr="00E22DDB">
        <w:rPr>
          <w:rFonts w:ascii="Times New Roman" w:eastAsia="Times New Roman" w:hAnsi="Times New Roman" w:cs="Times New Roman"/>
          <w:sz w:val="24"/>
          <w:szCs w:val="24"/>
          <w:vertAlign w:val="subscript"/>
          <w:lang w:val="en-US"/>
        </w:rPr>
        <w:t>max</w:t>
      </w:r>
      <w:r w:rsidRPr="00E22DDB">
        <w:rPr>
          <w:rFonts w:ascii="Times New Roman" w:eastAsia="Times New Roman" w:hAnsi="Times New Roman" w:cs="Times New Roman"/>
          <w:sz w:val="24"/>
          <w:szCs w:val="24"/>
        </w:rPr>
        <w:t xml:space="preserve">) абиратерона в зависимости от содержания жира в пище. </w:t>
      </w:r>
      <w:r w:rsidRPr="00E22DDB">
        <w:rPr>
          <w:rFonts w:ascii="Times New Roman" w:eastAsia="HelveticaWorld-Regular" w:hAnsi="Times New Roman" w:cs="Times New Roman"/>
          <w:sz w:val="24"/>
          <w:szCs w:val="24"/>
        </w:rPr>
        <w:t>Принимая во внимание нормальное разнообразие состава пищи, прием препарата Бидирон с пищей обладает способностью оказывать разнообразное системное воздействие.</w:t>
      </w:r>
      <w:r w:rsidRPr="00E22DDB">
        <w:rPr>
          <w:rFonts w:ascii="Times New Roman" w:eastAsia="Times New Roman" w:hAnsi="Times New Roman" w:cs="Times New Roman"/>
          <w:sz w:val="24"/>
          <w:szCs w:val="24"/>
        </w:rPr>
        <w:t xml:space="preserve"> Поэтому, препарат Бидирон</w:t>
      </w:r>
      <w:r w:rsidRPr="00E22DDB">
        <w:rPr>
          <w:rFonts w:ascii="Times New Roman" w:eastAsia="Times New Roman" w:hAnsi="Times New Roman" w:cs="Times New Roman"/>
          <w:sz w:val="24"/>
          <w:szCs w:val="24"/>
          <w:vertAlign w:val="superscript"/>
        </w:rPr>
        <w:t xml:space="preserve"> </w:t>
      </w:r>
      <w:r w:rsidRPr="00E22DDB">
        <w:rPr>
          <w:rFonts w:ascii="Times New Roman" w:eastAsia="Times New Roman" w:hAnsi="Times New Roman" w:cs="Times New Roman"/>
          <w:sz w:val="24"/>
          <w:szCs w:val="24"/>
        </w:rPr>
        <w:t>нельзя принимать во время еды.</w:t>
      </w:r>
    </w:p>
    <w:p w14:paraId="20EE761B" w14:textId="7E8FE0BF" w:rsidR="00236277" w:rsidRPr="00E22DDB" w:rsidRDefault="00236277" w:rsidP="00701A32">
      <w:pPr>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Таблетки Бидирон следует принимать однократно один раз в день натощак. Бидирон следует принимать по крайней мере через два часа после еды, а пищу нельзя есть в течение как минимум одного часа после приема препарата. Таблетки следует проглатывать целиком, запивая водой (см. раздел 4.2).</w:t>
      </w:r>
    </w:p>
    <w:p w14:paraId="35A80C32" w14:textId="77777777" w:rsidR="005D15DC" w:rsidRPr="00E22DDB" w:rsidRDefault="005D15DC" w:rsidP="00701A32">
      <w:pPr>
        <w:spacing w:after="0" w:line="240" w:lineRule="auto"/>
        <w:jc w:val="both"/>
        <w:rPr>
          <w:rFonts w:ascii="Times New Roman" w:eastAsia="Calibri" w:hAnsi="Times New Roman" w:cs="Times New Roman"/>
          <w:i/>
          <w:sz w:val="24"/>
          <w:szCs w:val="24"/>
          <w:lang w:bidi="ar-IQ"/>
        </w:rPr>
      </w:pPr>
      <w:r w:rsidRPr="00E22DDB">
        <w:rPr>
          <w:rFonts w:ascii="Times New Roman" w:eastAsia="Calibri" w:hAnsi="Times New Roman" w:cs="Times New Roman"/>
          <w:i/>
          <w:iCs/>
          <w:sz w:val="24"/>
          <w:szCs w:val="24"/>
          <w:lang w:bidi="ar-IQ"/>
        </w:rPr>
        <w:t>Распределение</w:t>
      </w:r>
    </w:p>
    <w:p w14:paraId="0AE89AFB" w14:textId="77777777" w:rsidR="0051654E" w:rsidRPr="00E22DDB" w:rsidRDefault="0051654E" w:rsidP="00701A3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Связывание меченного </w:t>
      </w:r>
      <w:r w:rsidRPr="00E22DDB">
        <w:rPr>
          <w:rFonts w:ascii="Times New Roman" w:eastAsia="Times New Roman" w:hAnsi="Times New Roman" w:cs="Times New Roman"/>
          <w:sz w:val="24"/>
          <w:szCs w:val="24"/>
          <w:vertAlign w:val="superscript"/>
        </w:rPr>
        <w:t>14</w:t>
      </w:r>
      <w:r w:rsidRPr="00E22DDB">
        <w:rPr>
          <w:rFonts w:ascii="Times New Roman" w:eastAsia="Times New Roman" w:hAnsi="Times New Roman" w:cs="Times New Roman"/>
          <w:sz w:val="24"/>
          <w:szCs w:val="24"/>
          <w:lang w:val="en-US"/>
        </w:rPr>
        <w:t>C</w:t>
      </w:r>
      <w:r w:rsidRPr="00E22DDB">
        <w:rPr>
          <w:rFonts w:ascii="Times New Roman" w:eastAsia="Times New Roman" w:hAnsi="Times New Roman" w:cs="Times New Roman"/>
          <w:sz w:val="24"/>
          <w:szCs w:val="24"/>
        </w:rPr>
        <w:t>-абиратерона с белками плазмы крови человека составляет 99.8%. Кажущийся объём распределения составляет  5.630 л, что свидетельствует о том, что абиратерон широко распределяется в периферических тканях.</w:t>
      </w:r>
    </w:p>
    <w:p w14:paraId="188E473C" w14:textId="77777777" w:rsidR="005D15DC" w:rsidRPr="00E22DDB" w:rsidRDefault="005D15DC" w:rsidP="00701A32">
      <w:pPr>
        <w:spacing w:after="0" w:line="240" w:lineRule="auto"/>
        <w:jc w:val="both"/>
        <w:rPr>
          <w:rFonts w:ascii="Times New Roman" w:eastAsia="Calibri" w:hAnsi="Times New Roman" w:cs="Times New Roman"/>
          <w:i/>
          <w:sz w:val="24"/>
          <w:szCs w:val="24"/>
          <w:lang w:bidi="ar-IQ"/>
        </w:rPr>
      </w:pPr>
      <w:r w:rsidRPr="00E22DDB">
        <w:rPr>
          <w:rFonts w:ascii="Times New Roman" w:eastAsia="Calibri" w:hAnsi="Times New Roman" w:cs="Times New Roman"/>
          <w:i/>
          <w:iCs/>
          <w:sz w:val="24"/>
          <w:szCs w:val="24"/>
          <w:lang w:bidi="ar-IQ"/>
        </w:rPr>
        <w:t>Биотрансформация</w:t>
      </w:r>
      <w:r w:rsidRPr="00E22DDB">
        <w:rPr>
          <w:rFonts w:ascii="Times New Roman" w:eastAsia="Calibri" w:hAnsi="Times New Roman" w:cs="Times New Roman"/>
          <w:i/>
          <w:sz w:val="24"/>
          <w:szCs w:val="24"/>
          <w:lang w:bidi="ar-IQ"/>
        </w:rPr>
        <w:t xml:space="preserve"> </w:t>
      </w:r>
    </w:p>
    <w:p w14:paraId="254F772E" w14:textId="77777777" w:rsidR="00D80EE0" w:rsidRPr="00E22DDB" w:rsidRDefault="00D80EE0" w:rsidP="00701A32">
      <w:pPr>
        <w:spacing w:after="0" w:line="240" w:lineRule="auto"/>
        <w:jc w:val="both"/>
        <w:rPr>
          <w:rFonts w:ascii="Times New Roman" w:eastAsia="Calibri" w:hAnsi="Times New Roman" w:cs="Times New Roman"/>
          <w:sz w:val="24"/>
          <w:szCs w:val="24"/>
          <w:lang w:bidi="ar-IQ"/>
        </w:rPr>
      </w:pPr>
      <w:r w:rsidRPr="00E22DDB">
        <w:rPr>
          <w:rFonts w:ascii="Times New Roman" w:eastAsia="Calibri" w:hAnsi="Times New Roman" w:cs="Times New Roman"/>
          <w:sz w:val="24"/>
          <w:szCs w:val="24"/>
          <w:lang w:bidi="ar-IQ"/>
        </w:rPr>
        <w:t xml:space="preserve">После перорального приёма </w:t>
      </w:r>
      <w:r w:rsidRPr="00E22DDB">
        <w:rPr>
          <w:rFonts w:ascii="Times New Roman" w:eastAsia="Calibri" w:hAnsi="Times New Roman" w:cs="Times New Roman"/>
          <w:sz w:val="24"/>
          <w:szCs w:val="24"/>
          <w:vertAlign w:val="superscript"/>
          <w:lang w:bidi="ar-IQ"/>
        </w:rPr>
        <w:t>14</w:t>
      </w:r>
      <w:r w:rsidRPr="00E22DDB">
        <w:rPr>
          <w:rFonts w:ascii="Times New Roman" w:eastAsia="Calibri" w:hAnsi="Times New Roman" w:cs="Times New Roman"/>
          <w:sz w:val="24"/>
          <w:szCs w:val="24"/>
          <w:lang w:val="en-US" w:bidi="ar-IQ"/>
        </w:rPr>
        <w:t>C</w:t>
      </w:r>
      <w:r w:rsidRPr="00E22DDB">
        <w:rPr>
          <w:rFonts w:ascii="Times New Roman" w:eastAsia="Calibri" w:hAnsi="Times New Roman" w:cs="Times New Roman"/>
          <w:sz w:val="24"/>
          <w:szCs w:val="24"/>
          <w:lang w:bidi="ar-IQ"/>
        </w:rPr>
        <w:t xml:space="preserve">-абиратерона ацетата в капсулах, абиратерона ацетат гидролизируется до абиратерона, который впоследствии метаболизируется, включая сульфатирование, гидроксилирование и окисление, главным образом, в печени. Большая часть циркулирующего </w:t>
      </w:r>
      <w:r w:rsidRPr="00E22DDB">
        <w:rPr>
          <w:rFonts w:ascii="Times New Roman" w:eastAsia="Calibri" w:hAnsi="Times New Roman" w:cs="Times New Roman"/>
          <w:sz w:val="24"/>
          <w:szCs w:val="24"/>
          <w:vertAlign w:val="superscript"/>
          <w:lang w:bidi="ar-IQ"/>
        </w:rPr>
        <w:t>14</w:t>
      </w:r>
      <w:r w:rsidRPr="00E22DDB">
        <w:rPr>
          <w:rFonts w:ascii="Times New Roman" w:eastAsia="Calibri" w:hAnsi="Times New Roman" w:cs="Times New Roman"/>
          <w:sz w:val="24"/>
          <w:szCs w:val="24"/>
          <w:lang w:val="en-US" w:bidi="ar-IQ"/>
        </w:rPr>
        <w:t>C</w:t>
      </w:r>
      <w:r w:rsidRPr="00E22DDB">
        <w:rPr>
          <w:rFonts w:ascii="Times New Roman" w:eastAsia="Calibri" w:hAnsi="Times New Roman" w:cs="Times New Roman"/>
          <w:sz w:val="24"/>
          <w:szCs w:val="24"/>
          <w:lang w:bidi="ar-IQ"/>
        </w:rPr>
        <w:t xml:space="preserve">-абиратерона ацетата (примерно 92%) обнаруживается в форме метаболитов абиратерона.  Из 15 поддающихся обнаружению метаболитов, 2 основных метаболита, абиратерона сульфат и </w:t>
      </w:r>
      <w:r w:rsidRPr="00E22DDB">
        <w:rPr>
          <w:rFonts w:ascii="Times New Roman" w:eastAsia="Calibri" w:hAnsi="Times New Roman" w:cs="Times New Roman"/>
          <w:sz w:val="24"/>
          <w:szCs w:val="24"/>
          <w:lang w:val="en-US" w:bidi="ar-IQ"/>
        </w:rPr>
        <w:t>N</w:t>
      </w:r>
      <w:r w:rsidRPr="00E22DDB">
        <w:rPr>
          <w:rFonts w:ascii="Times New Roman" w:eastAsia="Calibri" w:hAnsi="Times New Roman" w:cs="Times New Roman"/>
          <w:sz w:val="24"/>
          <w:szCs w:val="24"/>
          <w:lang w:bidi="ar-IQ"/>
        </w:rPr>
        <w:t>-оксид абиратерона сульфат, дают 43% общей радиоактивности каждый.</w:t>
      </w:r>
    </w:p>
    <w:p w14:paraId="749BE3E5" w14:textId="77777777" w:rsidR="00C9647E" w:rsidRPr="00E22DDB" w:rsidRDefault="00C9647E" w:rsidP="00701A32">
      <w:pPr>
        <w:autoSpaceDE w:val="0"/>
        <w:autoSpaceDN w:val="0"/>
        <w:adjustRightInd w:val="0"/>
        <w:spacing w:after="0" w:line="240" w:lineRule="auto"/>
        <w:jc w:val="both"/>
        <w:rPr>
          <w:rFonts w:ascii="Times New Roman" w:eastAsia="Calibri" w:hAnsi="Times New Roman" w:cs="Times New Roman"/>
          <w:i/>
          <w:iCs/>
          <w:sz w:val="24"/>
          <w:szCs w:val="24"/>
          <w:lang w:bidi="ar-IQ"/>
        </w:rPr>
      </w:pPr>
      <w:r w:rsidRPr="00E22DDB">
        <w:rPr>
          <w:rFonts w:ascii="Times New Roman" w:eastAsia="Calibri" w:hAnsi="Times New Roman" w:cs="Times New Roman"/>
          <w:i/>
          <w:iCs/>
          <w:sz w:val="24"/>
          <w:szCs w:val="24"/>
          <w:lang w:bidi="ar-IQ"/>
        </w:rPr>
        <w:t>Элиминация</w:t>
      </w:r>
    </w:p>
    <w:p w14:paraId="1B82AD46" w14:textId="77777777" w:rsidR="00D80EE0" w:rsidRPr="00E22DDB" w:rsidRDefault="00D80EE0" w:rsidP="00701A32">
      <w:pPr>
        <w:autoSpaceDE w:val="0"/>
        <w:autoSpaceDN w:val="0"/>
        <w:adjustRightInd w:val="0"/>
        <w:spacing w:after="0" w:line="240" w:lineRule="auto"/>
        <w:jc w:val="both"/>
        <w:rPr>
          <w:rFonts w:ascii="Times New Roman" w:eastAsia="TimesNewRoman" w:hAnsi="Times New Roman" w:cs="Times New Roman"/>
          <w:sz w:val="24"/>
          <w:szCs w:val="24"/>
        </w:rPr>
      </w:pPr>
      <w:r w:rsidRPr="00E22DDB">
        <w:rPr>
          <w:rFonts w:ascii="Times New Roman" w:eastAsia="Times New Roman" w:hAnsi="Times New Roman" w:cs="Times New Roman"/>
          <w:sz w:val="24"/>
          <w:szCs w:val="24"/>
        </w:rPr>
        <w:lastRenderedPageBreak/>
        <w:t>По данным исследований, проведенных с участием здоровых, средний период полувыведения абиратерона в плазме составляет приблизительно 15 часов.</w:t>
      </w:r>
      <w:r w:rsidR="002525E5" w:rsidRPr="00E22DDB">
        <w:rPr>
          <w:rFonts w:ascii="Times New Roman" w:eastAsia="Times New Roman" w:hAnsi="Times New Roman" w:cs="Times New Roman"/>
          <w:sz w:val="24"/>
          <w:szCs w:val="24"/>
        </w:rPr>
        <w:t xml:space="preserve"> </w:t>
      </w:r>
      <w:r w:rsidRPr="00E22DDB">
        <w:rPr>
          <w:rFonts w:ascii="Times New Roman" w:eastAsia="Times New Roman" w:hAnsi="Times New Roman" w:cs="Times New Roman"/>
          <w:sz w:val="24"/>
          <w:szCs w:val="24"/>
        </w:rPr>
        <w:t xml:space="preserve">После перорального приёма меченного </w:t>
      </w:r>
      <w:r w:rsidRPr="00E22DDB">
        <w:rPr>
          <w:rFonts w:ascii="Times New Roman" w:eastAsia="Times New Roman" w:hAnsi="Times New Roman" w:cs="Times New Roman"/>
          <w:sz w:val="24"/>
          <w:szCs w:val="24"/>
          <w:vertAlign w:val="superscript"/>
        </w:rPr>
        <w:t>14</w:t>
      </w:r>
      <w:r w:rsidRPr="00E22DDB">
        <w:rPr>
          <w:rFonts w:ascii="Times New Roman" w:eastAsia="Times New Roman" w:hAnsi="Times New Roman" w:cs="Times New Roman"/>
          <w:sz w:val="24"/>
          <w:szCs w:val="24"/>
          <w:lang w:val="en-US"/>
        </w:rPr>
        <w:t>C</w:t>
      </w:r>
      <w:r w:rsidRPr="00E22DDB">
        <w:rPr>
          <w:rFonts w:ascii="Times New Roman" w:eastAsia="Times New Roman" w:hAnsi="Times New Roman" w:cs="Times New Roman"/>
          <w:sz w:val="24"/>
          <w:szCs w:val="24"/>
        </w:rPr>
        <w:t xml:space="preserve">-абиратерона ацетата в дозе 1000 мг, около 88% радиоактивной дозы выводилось через кишечник и 5% почками. </w:t>
      </w:r>
      <w:r w:rsidRPr="00E22DDB">
        <w:rPr>
          <w:rFonts w:ascii="Times New Roman" w:eastAsia="TimesNewRoman" w:hAnsi="Times New Roman" w:cs="Times New Roman"/>
          <w:sz w:val="24"/>
          <w:szCs w:val="24"/>
        </w:rPr>
        <w:t>Основными веществами, представленными в кале, являются неизмененный абиратерона ацетат и абиратерон (приблизительно 55% и 22% принятой дозы соответственно).</w:t>
      </w:r>
    </w:p>
    <w:p w14:paraId="7F3E0B40" w14:textId="77777777" w:rsidR="00A34E70" w:rsidRPr="00E22DDB" w:rsidRDefault="00A34E70" w:rsidP="00701A32">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Нарушения функции печени</w:t>
      </w:r>
    </w:p>
    <w:p w14:paraId="5EFC4C8C" w14:textId="6223E6BC" w:rsidR="00236277" w:rsidRPr="00E22DDB" w:rsidRDefault="00A34E70" w:rsidP="00701A32">
      <w:pPr>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Фармакокинетика абиратерона ацетата изучалась у пациентов с печёночной недостаточностью лёгкой и умеренной степени (Чайлд-Пью Класс А и В, соответственно) и у здоровых. Системное воздействие абиратерона после однократного приёма в дозе 1000 мг увеличивалось на 11% у пациентов с легкой степенью печеночной недостаточности и на 260% у пациентов с умеренной степенью печеночной недостаточности. Средний период полувыведения абиратерона </w:t>
      </w:r>
      <w:r w:rsidR="00236277" w:rsidRPr="00E22DDB">
        <w:rPr>
          <w:rFonts w:ascii="Times New Roman" w:eastAsia="Times New Roman" w:hAnsi="Times New Roman" w:cs="Times New Roman"/>
          <w:sz w:val="24"/>
          <w:szCs w:val="24"/>
        </w:rPr>
        <w:t>увеличивается до</w:t>
      </w:r>
      <w:r w:rsidRPr="00E22DDB">
        <w:rPr>
          <w:rFonts w:ascii="Times New Roman" w:eastAsia="Times New Roman" w:hAnsi="Times New Roman" w:cs="Times New Roman"/>
          <w:sz w:val="24"/>
          <w:szCs w:val="24"/>
        </w:rPr>
        <w:t xml:space="preserve"> 18 часов у пациентов с лёгкой степен</w:t>
      </w:r>
      <w:r w:rsidR="002525E5" w:rsidRPr="00E22DDB">
        <w:rPr>
          <w:rFonts w:ascii="Times New Roman" w:eastAsia="Times New Roman" w:hAnsi="Times New Roman" w:cs="Times New Roman"/>
          <w:sz w:val="24"/>
          <w:szCs w:val="24"/>
        </w:rPr>
        <w:t>ью печеночной недостаточности</w:t>
      </w:r>
      <w:r w:rsidRPr="00E22DDB">
        <w:rPr>
          <w:rFonts w:ascii="Times New Roman" w:eastAsia="Times New Roman" w:hAnsi="Times New Roman" w:cs="Times New Roman"/>
          <w:sz w:val="24"/>
          <w:szCs w:val="24"/>
        </w:rPr>
        <w:t xml:space="preserve"> и до 19 часов у пациентов с умеренной степенью печёночной недостаточности. </w:t>
      </w:r>
    </w:p>
    <w:p w14:paraId="00194569" w14:textId="71355E71" w:rsidR="00236277" w:rsidRPr="00E22DDB" w:rsidRDefault="00236277" w:rsidP="00701A32">
      <w:pPr>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В другом исследовании фармакокинетику абиратерона изучали у пациентов с уже существовавшей тяжелой (n = 8) печеночной недостаточностью (класс C по Чайлд-Пью) и у 8 здоровых субъектов контрольной группы с нормальной функцией печени. AUC абиратерона увеличилась примерно на 600%, а доля свободного препарата увеличилась на 80% у пациентов с тяжелым нарушением функции печени по сравнению с пациентами с нормальной функцией печени.</w:t>
      </w:r>
    </w:p>
    <w:p w14:paraId="0A4298A1" w14:textId="4C134E10" w:rsidR="00A34E70" w:rsidRPr="00E22DDB" w:rsidRDefault="00A34E70" w:rsidP="00701A32">
      <w:pPr>
        <w:autoSpaceDE w:val="0"/>
        <w:autoSpaceDN w:val="0"/>
        <w:adjustRightInd w:val="0"/>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У пациентов с ранее выявленной печеночной недостаточностью лёгкой степени, корректировка дозы не требуется. </w:t>
      </w:r>
      <w:r w:rsidRPr="00E22DDB">
        <w:rPr>
          <w:rFonts w:ascii="Times New Roman" w:eastAsia="TimesNewRoman" w:hAnsi="Times New Roman" w:cs="Times New Roman"/>
          <w:sz w:val="24"/>
          <w:szCs w:val="24"/>
        </w:rPr>
        <w:t xml:space="preserve">Применение препарата </w:t>
      </w:r>
      <w:r w:rsidR="002525E5" w:rsidRPr="00E22DDB">
        <w:rPr>
          <w:rFonts w:ascii="Times New Roman" w:eastAsia="TimesNewRoman" w:hAnsi="Times New Roman" w:cs="Times New Roman"/>
          <w:sz w:val="24"/>
          <w:szCs w:val="24"/>
        </w:rPr>
        <w:t>Бидирон</w:t>
      </w:r>
      <w:r w:rsidRPr="00E22DDB">
        <w:rPr>
          <w:rFonts w:ascii="Times New Roman" w:eastAsia="TimesNewRoman" w:hAnsi="Times New Roman" w:cs="Times New Roman"/>
          <w:sz w:val="24"/>
          <w:szCs w:val="24"/>
        </w:rPr>
        <w:t xml:space="preserve"> следует тщательно оценивать у пациентов с умеренным нарушением функции печени, для которых польза должна однозначно превосходить возможный риск</w:t>
      </w:r>
      <w:r w:rsidR="00236277" w:rsidRPr="00E22DDB">
        <w:rPr>
          <w:rFonts w:ascii="Times New Roman" w:eastAsia="TimesNewRoman" w:hAnsi="Times New Roman" w:cs="Times New Roman"/>
          <w:sz w:val="24"/>
          <w:szCs w:val="24"/>
        </w:rPr>
        <w:t xml:space="preserve"> (см. раздел 4.2 и 4.4)</w:t>
      </w:r>
      <w:r w:rsidRPr="00E22DDB">
        <w:rPr>
          <w:rFonts w:ascii="Times New Roman" w:eastAsia="TimesNewRoman" w:hAnsi="Times New Roman" w:cs="Times New Roman"/>
          <w:sz w:val="24"/>
          <w:szCs w:val="24"/>
        </w:rPr>
        <w:t xml:space="preserve">. Препарат </w:t>
      </w:r>
      <w:r w:rsidR="002525E5" w:rsidRPr="00E22DDB">
        <w:rPr>
          <w:rFonts w:ascii="Times New Roman" w:eastAsia="TimesNewRoman" w:hAnsi="Times New Roman" w:cs="Times New Roman"/>
          <w:sz w:val="24"/>
          <w:szCs w:val="24"/>
        </w:rPr>
        <w:t>Бидирон</w:t>
      </w:r>
      <w:r w:rsidRPr="00E22DDB">
        <w:rPr>
          <w:rFonts w:ascii="Times New Roman" w:eastAsia="TimesNewRoman" w:hAnsi="Times New Roman" w:cs="Times New Roman"/>
          <w:sz w:val="24"/>
          <w:szCs w:val="24"/>
        </w:rPr>
        <w:t xml:space="preserve"> не должен использоваться у пациентов с тяжелым нарушением функции печени</w:t>
      </w:r>
      <w:r w:rsidR="00236277" w:rsidRPr="00E22DDB">
        <w:rPr>
          <w:rFonts w:ascii="Times New Roman" w:eastAsia="TimesNewRoman" w:hAnsi="Times New Roman" w:cs="Times New Roman"/>
          <w:sz w:val="24"/>
          <w:szCs w:val="24"/>
        </w:rPr>
        <w:t xml:space="preserve"> (см. раздел 4.2, 4.3 и 4.4)</w:t>
      </w:r>
      <w:r w:rsidRPr="00E22DDB">
        <w:rPr>
          <w:rFonts w:ascii="Times New Roman" w:eastAsia="TimesNewRoman" w:hAnsi="Times New Roman" w:cs="Times New Roman"/>
          <w:sz w:val="24"/>
          <w:szCs w:val="24"/>
        </w:rPr>
        <w:t>.</w:t>
      </w:r>
      <w:r w:rsidR="00236277" w:rsidRPr="00E22DDB">
        <w:rPr>
          <w:rFonts w:ascii="Times New Roman" w:eastAsia="TimesNewRoman" w:hAnsi="Times New Roman" w:cs="Times New Roman"/>
          <w:sz w:val="24"/>
          <w:szCs w:val="24"/>
        </w:rPr>
        <w:t xml:space="preserve"> </w:t>
      </w:r>
      <w:r w:rsidRPr="00E22DDB">
        <w:rPr>
          <w:rFonts w:ascii="Times New Roman" w:eastAsia="Times New Roman" w:hAnsi="Times New Roman" w:cs="Times New Roman"/>
          <w:sz w:val="24"/>
          <w:szCs w:val="24"/>
        </w:rPr>
        <w:t>Пациентам, у которых в процессе терапии препаратом развилась гепатотоксичность, может потребоваться временная отмена препарата и коррекция дозы</w:t>
      </w:r>
      <w:r w:rsidR="00236277" w:rsidRPr="00E22DDB">
        <w:rPr>
          <w:rFonts w:ascii="Times New Roman" w:eastAsia="Times New Roman" w:hAnsi="Times New Roman" w:cs="Times New Roman"/>
          <w:sz w:val="24"/>
          <w:szCs w:val="24"/>
        </w:rPr>
        <w:t xml:space="preserve"> (см. раздел 4.2 и 4.4)</w:t>
      </w:r>
      <w:r w:rsidRPr="00E22DDB">
        <w:rPr>
          <w:rFonts w:ascii="Times New Roman" w:eastAsia="Times New Roman" w:hAnsi="Times New Roman" w:cs="Times New Roman"/>
          <w:sz w:val="24"/>
          <w:szCs w:val="24"/>
        </w:rPr>
        <w:t>.</w:t>
      </w:r>
    </w:p>
    <w:p w14:paraId="37E60E10" w14:textId="77777777" w:rsidR="00A34E70" w:rsidRPr="00E22DDB" w:rsidRDefault="00A34E70" w:rsidP="00701A32">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E22DDB">
        <w:rPr>
          <w:rFonts w:ascii="Times New Roman" w:eastAsia="Times New Roman" w:hAnsi="Times New Roman" w:cs="Times New Roman"/>
          <w:i/>
          <w:sz w:val="24"/>
          <w:szCs w:val="24"/>
        </w:rPr>
        <w:t>Нарушения функции почек</w:t>
      </w:r>
    </w:p>
    <w:p w14:paraId="0FB650C9" w14:textId="4BD42553" w:rsidR="00A34E70" w:rsidRPr="00E22DDB" w:rsidRDefault="00A34E70" w:rsidP="00701A32">
      <w:pPr>
        <w:keepNext/>
        <w:spacing w:after="0" w:line="240" w:lineRule="auto"/>
        <w:jc w:val="both"/>
        <w:rPr>
          <w:rFonts w:ascii="Times New Roman" w:eastAsia="Times New Roman" w:hAnsi="Times New Roman" w:cs="Times New Roman"/>
          <w:sz w:val="24"/>
          <w:szCs w:val="24"/>
        </w:rPr>
      </w:pPr>
      <w:r w:rsidRPr="00E22DDB">
        <w:rPr>
          <w:rFonts w:ascii="Times New Roman" w:eastAsia="Times New Roman" w:hAnsi="Times New Roman" w:cs="Times New Roman"/>
          <w:sz w:val="24"/>
          <w:szCs w:val="24"/>
        </w:rPr>
        <w:t xml:space="preserve">Было проведено сравнение фармакокинетики абиратерона ацетата у пациентов с терминальной стадией почечной недостаточности, находящихся на постоянном гемодиализе </w:t>
      </w:r>
      <w:r w:rsidR="002525E5" w:rsidRPr="00E22DDB">
        <w:rPr>
          <w:rFonts w:ascii="Times New Roman" w:eastAsia="Times New Roman" w:hAnsi="Times New Roman" w:cs="Times New Roman"/>
          <w:sz w:val="24"/>
          <w:szCs w:val="24"/>
        </w:rPr>
        <w:t>и у пациентов</w:t>
      </w:r>
      <w:r w:rsidRPr="00E22DDB">
        <w:rPr>
          <w:rFonts w:ascii="Times New Roman" w:eastAsia="Times New Roman" w:hAnsi="Times New Roman" w:cs="Times New Roman"/>
          <w:sz w:val="24"/>
          <w:szCs w:val="24"/>
        </w:rPr>
        <w:t xml:space="preserve"> без нарушения функции почек. У пациентов с терминальной стадией почечной недостаточности, находящихся на гемодиализе не было отмечено увеличения системного воздействия абиратерона после однократной пероральной дозы 1000 мг. Использование препарата у пациентов с почечной недостаточностью тяжелой степени не требует снижения дозы</w:t>
      </w:r>
      <w:r w:rsidR="00236277" w:rsidRPr="00E22DDB">
        <w:rPr>
          <w:rFonts w:ascii="Times New Roman" w:eastAsia="Times New Roman" w:hAnsi="Times New Roman" w:cs="Times New Roman"/>
          <w:sz w:val="24"/>
          <w:szCs w:val="24"/>
        </w:rPr>
        <w:t xml:space="preserve"> (см. раздел 4.2)</w:t>
      </w:r>
      <w:r w:rsidRPr="00E22DDB">
        <w:rPr>
          <w:rFonts w:ascii="Times New Roman" w:eastAsia="Times New Roman" w:hAnsi="Times New Roman" w:cs="Times New Roman"/>
          <w:sz w:val="24"/>
          <w:szCs w:val="24"/>
        </w:rPr>
        <w:t xml:space="preserve">. Однако, следует с осторожностью назначать препарат </w:t>
      </w:r>
      <w:r w:rsidR="002525E5" w:rsidRPr="00E22DDB">
        <w:rPr>
          <w:rFonts w:ascii="Times New Roman" w:eastAsia="Times New Roman" w:hAnsi="Times New Roman" w:cs="Times New Roman"/>
          <w:sz w:val="24"/>
          <w:szCs w:val="24"/>
        </w:rPr>
        <w:t>Бидирон</w:t>
      </w:r>
      <w:r w:rsidRPr="00E22DDB">
        <w:rPr>
          <w:rFonts w:ascii="Times New Roman" w:eastAsia="Times New Roman" w:hAnsi="Times New Roman" w:cs="Times New Roman"/>
          <w:sz w:val="24"/>
          <w:szCs w:val="24"/>
        </w:rPr>
        <w:t xml:space="preserve"> пациентам, больным раком предстательной железы с нарушением функции почек тяжелой степени, поскольку клинические данные о применении препарата </w:t>
      </w:r>
      <w:r w:rsidR="002525E5" w:rsidRPr="00E22DDB">
        <w:rPr>
          <w:rFonts w:ascii="Times New Roman" w:eastAsia="Times New Roman" w:hAnsi="Times New Roman" w:cs="Times New Roman"/>
          <w:sz w:val="24"/>
          <w:szCs w:val="24"/>
        </w:rPr>
        <w:t>Бидирон</w:t>
      </w:r>
      <w:r w:rsidRPr="00E22DDB">
        <w:rPr>
          <w:rFonts w:ascii="Times New Roman" w:eastAsia="Times New Roman" w:hAnsi="Times New Roman" w:cs="Times New Roman"/>
          <w:sz w:val="24"/>
          <w:szCs w:val="24"/>
        </w:rPr>
        <w:t xml:space="preserve"> у таких пациентов отсутствуют. </w:t>
      </w:r>
    </w:p>
    <w:p w14:paraId="6045E1BF" w14:textId="77777777" w:rsidR="00C9647E" w:rsidRPr="00E22DDB" w:rsidRDefault="00C9647E" w:rsidP="00701A32">
      <w:pPr>
        <w:keepNext/>
        <w:spacing w:after="0" w:line="240" w:lineRule="auto"/>
        <w:jc w:val="both"/>
        <w:rPr>
          <w:rFonts w:ascii="Times New Roman" w:eastAsia="Times New Roman" w:hAnsi="Times New Roman" w:cs="Times New Roman"/>
          <w:b/>
          <w:sz w:val="24"/>
          <w:szCs w:val="24"/>
        </w:rPr>
      </w:pPr>
    </w:p>
    <w:p w14:paraId="73F23519" w14:textId="77777777" w:rsidR="00C9647E" w:rsidRPr="00E22DDB" w:rsidRDefault="00C9647E" w:rsidP="00701A32">
      <w:pPr>
        <w:keepNext/>
        <w:spacing w:after="0" w:line="240" w:lineRule="auto"/>
        <w:jc w:val="both"/>
        <w:rPr>
          <w:rFonts w:ascii="Times New Roman" w:eastAsia="Times New Roman" w:hAnsi="Times New Roman" w:cs="Times New Roman"/>
          <w:b/>
          <w:sz w:val="24"/>
          <w:szCs w:val="24"/>
        </w:rPr>
      </w:pPr>
      <w:r w:rsidRPr="00E22DDB">
        <w:rPr>
          <w:rFonts w:ascii="Times New Roman" w:eastAsia="Times New Roman" w:hAnsi="Times New Roman" w:cs="Times New Roman"/>
          <w:b/>
          <w:sz w:val="24"/>
          <w:szCs w:val="24"/>
        </w:rPr>
        <w:t>5.3. Данные доклинической безопасности</w:t>
      </w:r>
    </w:p>
    <w:p w14:paraId="2DEC02AF"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Во всех исследованиях токсичности, проведенных на животных, циркулирующие уровни тестостерона были достоверно снижены. Как следствие этого, наблюдалось снижение массы органов и морфологические и/или гистопатологические изменения в органах репродуктивной системы, а также в надпочечниках, гипофизе и молочных железах. Все изменения продемонстрировали полную или частичную обратимость. Изменения в репродуктивных органах и в органах, чувствительных к андрогенам, согласуются с фармакологией абиратерона. Все связанные с лечением гормональные изменения претерпевали обратное развитие или, как было показано, разрешались спустя 4-недельный восстановительный период.</w:t>
      </w:r>
    </w:p>
    <w:p w14:paraId="522FBE21"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 исследованиях фертильности, проведенных как у самцов, так и у самок крыс, абиратерона </w:t>
      </w:r>
      <w:r w:rsidRPr="00E22DDB">
        <w:rPr>
          <w:rFonts w:ascii="Times New Roman" w:eastAsia="TimesNewRoman" w:hAnsi="Times New Roman" w:cs="Times New Roman"/>
          <w:sz w:val="24"/>
          <w:szCs w:val="24"/>
          <w:lang w:eastAsia="ru-RU"/>
        </w:rPr>
        <w:lastRenderedPageBreak/>
        <w:t>ацетат снижал фертильность; этот эффект был полностью обратим в течение 4-16 недель после прекращения применения абиратерона ацетата.</w:t>
      </w:r>
    </w:p>
    <w:p w14:paraId="0C9DC791" w14:textId="77777777" w:rsidR="009901E9" w:rsidRPr="00E22DDB" w:rsidRDefault="009901E9"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E22DDB">
        <w:rPr>
          <w:rFonts w:ascii="Times New Roman" w:eastAsia="TimesNewRoman" w:hAnsi="Times New Roman" w:cs="Times New Roman"/>
          <w:sz w:val="24"/>
          <w:szCs w:val="24"/>
          <w:lang w:eastAsia="ru-RU"/>
        </w:rPr>
        <w:t xml:space="preserve">В исследовании по изучению отдаленных эффектов токсичности у крыс абиратерона ацетат влиял на течение беременности, включая снижение массы тела плода и выживаемость. Наблюдались эффекты, оказываемые на наружные половые органы, хотя абиратерона ацетат не был тератогенным. </w:t>
      </w:r>
    </w:p>
    <w:p w14:paraId="1BFDB568" w14:textId="77777777" w:rsidR="009901E9" w:rsidRPr="00E22DDB" w:rsidRDefault="009901E9" w:rsidP="009901E9">
      <w:pPr>
        <w:widowControl w:val="0"/>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E22DDB">
        <w:rPr>
          <w:rFonts w:ascii="Times New Roman" w:eastAsia="Times New Roman" w:hAnsi="Times New Roman" w:cs="Times New Roman"/>
          <w:color w:val="222222"/>
          <w:sz w:val="24"/>
          <w:szCs w:val="24"/>
          <w:lang w:eastAsia="ru-RU"/>
        </w:rPr>
        <w:t xml:space="preserve">В этих исследованиях фертильности и развивающейся токсичности, проведенных на крысах, все эффекты были связаны с фармакологической активностью абиратерона. </w:t>
      </w:r>
    </w:p>
    <w:p w14:paraId="6F25254E" w14:textId="24A8CAE1" w:rsidR="009901E9" w:rsidRPr="00E22DDB" w:rsidRDefault="009901E9" w:rsidP="009901E9">
      <w:pPr>
        <w:widowControl w:val="0"/>
        <w:autoSpaceDE w:val="0"/>
        <w:autoSpaceDN w:val="0"/>
        <w:adjustRightInd w:val="0"/>
        <w:spacing w:after="0" w:line="240" w:lineRule="auto"/>
        <w:jc w:val="both"/>
        <w:rPr>
          <w:rFonts w:ascii="Times New Roman" w:eastAsia="Batang" w:hAnsi="Times New Roman" w:cs="Times New Roman"/>
          <w:color w:val="222222"/>
          <w:sz w:val="24"/>
          <w:szCs w:val="24"/>
          <w:lang w:eastAsia="ru-RU"/>
        </w:rPr>
      </w:pPr>
      <w:r w:rsidRPr="00E22DDB">
        <w:rPr>
          <w:rFonts w:ascii="Times New Roman" w:eastAsia="Times New Roman" w:hAnsi="Times New Roman" w:cs="Times New Roman"/>
          <w:color w:val="222222"/>
          <w:sz w:val="24"/>
          <w:szCs w:val="24"/>
          <w:lang w:eastAsia="ru-RU"/>
        </w:rPr>
        <w:t>Доклинические данные, основанные на традиционных исследованиях фармакологической безопасности, токсичности повторных доз и генотоксичности не показали специфической опасности для людей, за исключением изменений репродуктивных органов, которые были обнаружены во всех токсикологических исследованиях на животных. Абиратерона ацетат не оказывал канцерогенного эффекта в 6-месячном исследовании на трансгенных (Tg.rasH2) мышах. В 24-месячном исследовании канцерогенности на крысах, абиратерона ацетат увеличивал частоту новообразований в интерстициальных клетках яичек. Это обнаружение считается, связанным с фармакологическим действием абиратерон и специфичным для крыс. Абиратерона ацетат не имел канцерогенного эффекта у самок крыс.</w:t>
      </w:r>
      <w:r w:rsidRPr="00E22DDB">
        <w:rPr>
          <w:rFonts w:ascii="Times New Roman" w:eastAsia="Batang" w:hAnsi="Times New Roman" w:cs="Times New Roman"/>
          <w:color w:val="222222"/>
          <w:sz w:val="24"/>
          <w:szCs w:val="24"/>
          <w:lang w:eastAsia="ru-RU"/>
        </w:rPr>
        <w:t xml:space="preserve"> </w:t>
      </w:r>
    </w:p>
    <w:p w14:paraId="7F1508F5" w14:textId="77777777" w:rsidR="00A72229" w:rsidRPr="00E22DDB" w:rsidRDefault="00A72229" w:rsidP="00C9647E">
      <w:pPr>
        <w:spacing w:before="240"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6. Фармацевтические свойства</w:t>
      </w:r>
    </w:p>
    <w:p w14:paraId="6505A74C" w14:textId="77777777" w:rsidR="00A72229" w:rsidRPr="00E22DDB" w:rsidRDefault="00A72229" w:rsidP="00701A32">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6.1. П</w:t>
      </w:r>
      <w:r w:rsidR="00C9647E" w:rsidRPr="00E22DDB">
        <w:rPr>
          <w:rFonts w:ascii="Times New Roman" w:hAnsi="Times New Roman" w:cs="Times New Roman"/>
          <w:b/>
          <w:sz w:val="24"/>
          <w:szCs w:val="24"/>
        </w:rPr>
        <w:t>еречень вспомогательных веществ</w:t>
      </w:r>
    </w:p>
    <w:p w14:paraId="24EFF809" w14:textId="77777777" w:rsidR="00C9647E" w:rsidRPr="00E22DDB" w:rsidRDefault="00082AB4" w:rsidP="00C9647E">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целлюлоза микрок</w:t>
      </w:r>
      <w:r w:rsidR="00C9647E" w:rsidRPr="00E22DDB">
        <w:rPr>
          <w:rFonts w:ascii="Times New Roman" w:hAnsi="Times New Roman" w:cs="Times New Roman"/>
          <w:sz w:val="24"/>
          <w:szCs w:val="24"/>
        </w:rPr>
        <w:t>ристаллическая (Авицел РН-101)</w:t>
      </w:r>
    </w:p>
    <w:p w14:paraId="250B3A8D" w14:textId="77777777" w:rsidR="00C9647E" w:rsidRPr="00E22DDB" w:rsidRDefault="00C9647E" w:rsidP="00C9647E">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лактозы моногидрат</w:t>
      </w:r>
    </w:p>
    <w:p w14:paraId="3AD1FF6D" w14:textId="77777777" w:rsidR="00C9647E" w:rsidRPr="00E22DDB" w:rsidRDefault="00C9647E" w:rsidP="00C9647E">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натрия лаурилсульфат</w:t>
      </w:r>
    </w:p>
    <w:p w14:paraId="2540C806" w14:textId="77777777" w:rsidR="00C9647E" w:rsidRPr="00E22DDB" w:rsidRDefault="00C9647E" w:rsidP="00C9647E">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натрия кроскармеллоза</w:t>
      </w:r>
    </w:p>
    <w:p w14:paraId="41465656" w14:textId="77777777" w:rsidR="00C9647E" w:rsidRPr="00E22DDB" w:rsidRDefault="00C9647E" w:rsidP="00C9647E">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повидон К-30</w:t>
      </w:r>
    </w:p>
    <w:p w14:paraId="426AF802" w14:textId="77777777" w:rsidR="00C9647E" w:rsidRPr="00E22DDB" w:rsidRDefault="00C9647E" w:rsidP="00C9647E">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кремния диоксид коллоидный</w:t>
      </w:r>
    </w:p>
    <w:p w14:paraId="1CB94B9B" w14:textId="77777777" w:rsidR="005D15DC" w:rsidRPr="00E22DDB" w:rsidRDefault="00DB4432" w:rsidP="00C9647E">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магния стеарат</w:t>
      </w:r>
      <w:r w:rsidR="00A72229" w:rsidRPr="00E22DDB">
        <w:rPr>
          <w:rFonts w:ascii="Times New Roman" w:hAnsi="Times New Roman" w:cs="Times New Roman"/>
          <w:sz w:val="24"/>
          <w:szCs w:val="24"/>
        </w:rPr>
        <w:t xml:space="preserve">  </w:t>
      </w:r>
    </w:p>
    <w:p w14:paraId="0B963BD9" w14:textId="77777777" w:rsidR="00C9647E" w:rsidRPr="00E22DDB" w:rsidRDefault="00C9647E" w:rsidP="00C9647E">
      <w:pPr>
        <w:spacing w:after="0" w:line="240" w:lineRule="auto"/>
        <w:jc w:val="both"/>
        <w:rPr>
          <w:rFonts w:ascii="Times New Roman" w:hAnsi="Times New Roman" w:cs="Times New Roman"/>
          <w:sz w:val="24"/>
          <w:szCs w:val="24"/>
        </w:rPr>
      </w:pPr>
    </w:p>
    <w:p w14:paraId="1D82B2B3" w14:textId="77777777" w:rsidR="00A72229" w:rsidRPr="00E22DDB" w:rsidRDefault="00C9647E" w:rsidP="00C9647E">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6.2. Несовместимость</w:t>
      </w:r>
    </w:p>
    <w:p w14:paraId="3A0E3FB7" w14:textId="77777777" w:rsidR="00A72229" w:rsidRPr="00E22DDB" w:rsidRDefault="00C9647E" w:rsidP="00C9647E">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Не</w:t>
      </w:r>
      <w:r w:rsidR="00A72229" w:rsidRPr="00E22DDB">
        <w:rPr>
          <w:rFonts w:ascii="Times New Roman" w:hAnsi="Times New Roman" w:cs="Times New Roman"/>
          <w:sz w:val="24"/>
          <w:szCs w:val="24"/>
        </w:rPr>
        <w:t>известно.</w:t>
      </w:r>
    </w:p>
    <w:p w14:paraId="4FAF1C48" w14:textId="77777777" w:rsidR="00C9647E" w:rsidRPr="00E22DDB" w:rsidRDefault="00C9647E" w:rsidP="00C9647E">
      <w:pPr>
        <w:spacing w:after="0" w:line="240" w:lineRule="auto"/>
        <w:jc w:val="both"/>
        <w:rPr>
          <w:rFonts w:ascii="Times New Roman" w:hAnsi="Times New Roman" w:cs="Times New Roman"/>
          <w:sz w:val="24"/>
          <w:szCs w:val="24"/>
        </w:rPr>
      </w:pPr>
    </w:p>
    <w:p w14:paraId="57A27F3B" w14:textId="77777777" w:rsidR="001A187F" w:rsidRPr="00E22DDB" w:rsidRDefault="001A187F" w:rsidP="001A187F">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6.3. Срок годности</w:t>
      </w:r>
    </w:p>
    <w:p w14:paraId="0FF7F1CC" w14:textId="07938443" w:rsidR="001A187F" w:rsidRPr="00E22DDB" w:rsidRDefault="009425F7" w:rsidP="001A187F">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3</w:t>
      </w:r>
      <w:r w:rsidR="001A187F" w:rsidRPr="00E22DDB">
        <w:rPr>
          <w:rFonts w:ascii="Times New Roman" w:hAnsi="Times New Roman" w:cs="Times New Roman"/>
          <w:sz w:val="24"/>
          <w:szCs w:val="24"/>
        </w:rPr>
        <w:t xml:space="preserve"> года</w:t>
      </w:r>
    </w:p>
    <w:p w14:paraId="3603E026" w14:textId="77777777" w:rsidR="001A187F" w:rsidRPr="00E22DDB" w:rsidRDefault="001A187F" w:rsidP="001A187F">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lang w:bidi="ru-RU"/>
        </w:rPr>
        <w:t>Не применять по истечении срока годности.</w:t>
      </w:r>
    </w:p>
    <w:p w14:paraId="4DBADEC1" w14:textId="77777777" w:rsidR="001A187F" w:rsidRPr="00E22DDB" w:rsidRDefault="001A187F" w:rsidP="001A187F">
      <w:pPr>
        <w:spacing w:after="0" w:line="240" w:lineRule="auto"/>
        <w:jc w:val="both"/>
        <w:rPr>
          <w:rFonts w:ascii="Times New Roman" w:hAnsi="Times New Roman" w:cs="Times New Roman"/>
          <w:sz w:val="24"/>
          <w:szCs w:val="24"/>
        </w:rPr>
      </w:pPr>
    </w:p>
    <w:p w14:paraId="150080DC" w14:textId="77777777" w:rsidR="001A187F" w:rsidRPr="00E22DDB" w:rsidRDefault="001A187F" w:rsidP="001A187F">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6.4. Особые меры предосторожности при хранении.</w:t>
      </w:r>
    </w:p>
    <w:p w14:paraId="1B3020C4" w14:textId="77777777" w:rsidR="00B83864" w:rsidRPr="00E22DDB" w:rsidRDefault="00B83864" w:rsidP="00B83864">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Хранить в сухом, защищенном от света месте, при температуре не выше 30</w:t>
      </w:r>
      <w:r w:rsidRPr="00E22DDB">
        <w:rPr>
          <w:rFonts w:ascii="Times New Roman" w:hAnsi="Times New Roman" w:cs="Times New Roman"/>
          <w:sz w:val="24"/>
          <w:szCs w:val="24"/>
          <w:vertAlign w:val="superscript"/>
        </w:rPr>
        <w:t>0</w:t>
      </w:r>
      <w:r w:rsidRPr="00E22DDB">
        <w:rPr>
          <w:rFonts w:ascii="Times New Roman" w:hAnsi="Times New Roman" w:cs="Times New Roman"/>
          <w:sz w:val="24"/>
          <w:szCs w:val="24"/>
        </w:rPr>
        <w:t>С.</w:t>
      </w:r>
    </w:p>
    <w:p w14:paraId="20A5DAF3" w14:textId="77777777" w:rsidR="001A187F" w:rsidRPr="00E22DDB" w:rsidRDefault="001A187F" w:rsidP="001A187F">
      <w:pPr>
        <w:spacing w:after="0" w:line="240" w:lineRule="auto"/>
        <w:jc w:val="both"/>
        <w:rPr>
          <w:rFonts w:ascii="Times New Roman" w:hAnsi="Times New Roman" w:cs="Times New Roman"/>
          <w:sz w:val="24"/>
          <w:szCs w:val="24"/>
        </w:rPr>
      </w:pPr>
      <w:r w:rsidRPr="00E22DDB">
        <w:rPr>
          <w:rFonts w:ascii="Times New Roman" w:hAnsi="Times New Roman" w:cs="Times New Roman"/>
          <w:sz w:val="24"/>
          <w:szCs w:val="24"/>
        </w:rPr>
        <w:t>Хранить в недоступном для детей месте!</w:t>
      </w:r>
    </w:p>
    <w:p w14:paraId="15CD5FF1" w14:textId="77777777" w:rsidR="001A187F" w:rsidRPr="00E22DDB" w:rsidRDefault="001A187F" w:rsidP="001A187F">
      <w:pPr>
        <w:spacing w:after="0" w:line="240" w:lineRule="auto"/>
        <w:jc w:val="both"/>
        <w:rPr>
          <w:rFonts w:ascii="Times New Roman" w:hAnsi="Times New Roman" w:cs="Times New Roman"/>
          <w:sz w:val="24"/>
          <w:szCs w:val="24"/>
        </w:rPr>
      </w:pPr>
    </w:p>
    <w:p w14:paraId="02E654DB" w14:textId="77777777" w:rsidR="001A187F" w:rsidRPr="00E22DDB" w:rsidRDefault="001A187F" w:rsidP="001A187F">
      <w:pPr>
        <w:spacing w:after="0" w:line="240" w:lineRule="auto"/>
        <w:jc w:val="both"/>
        <w:rPr>
          <w:rFonts w:ascii="Times New Roman" w:hAnsi="Times New Roman" w:cs="Times New Roman"/>
          <w:b/>
          <w:sz w:val="24"/>
          <w:szCs w:val="24"/>
        </w:rPr>
      </w:pPr>
      <w:r w:rsidRPr="00E22DDB">
        <w:rPr>
          <w:rFonts w:ascii="Times New Roman" w:hAnsi="Times New Roman" w:cs="Times New Roman"/>
          <w:b/>
          <w:sz w:val="24"/>
          <w:szCs w:val="24"/>
        </w:rPr>
        <w:t>6.5. Форма выпуска и упаковка</w:t>
      </w:r>
    </w:p>
    <w:p w14:paraId="595200CA" w14:textId="76C6AF07" w:rsidR="001A187F" w:rsidRPr="00E22DDB" w:rsidRDefault="001A187F" w:rsidP="001A187F">
      <w:pPr>
        <w:spacing w:after="0" w:line="240" w:lineRule="auto"/>
        <w:jc w:val="both"/>
        <w:rPr>
          <w:rFonts w:ascii="Times New Roman" w:hAnsi="Times New Roman" w:cs="Times New Roman"/>
          <w:bCs/>
          <w:sz w:val="24"/>
          <w:szCs w:val="24"/>
        </w:rPr>
      </w:pPr>
      <w:r w:rsidRPr="00E22DDB">
        <w:rPr>
          <w:rFonts w:ascii="Times New Roman" w:hAnsi="Times New Roman" w:cs="Times New Roman"/>
          <w:bCs/>
          <w:sz w:val="24"/>
          <w:szCs w:val="24"/>
        </w:rPr>
        <w:t xml:space="preserve">По </w:t>
      </w:r>
      <w:r w:rsidR="009A038E" w:rsidRPr="00E22DDB">
        <w:rPr>
          <w:rFonts w:ascii="Times New Roman" w:hAnsi="Times New Roman" w:cs="Times New Roman"/>
          <w:bCs/>
          <w:sz w:val="24"/>
          <w:szCs w:val="24"/>
        </w:rPr>
        <w:t>120</w:t>
      </w:r>
      <w:r w:rsidRPr="00E22DDB">
        <w:rPr>
          <w:rFonts w:ascii="Times New Roman" w:hAnsi="Times New Roman" w:cs="Times New Roman"/>
          <w:bCs/>
          <w:sz w:val="24"/>
          <w:szCs w:val="24"/>
        </w:rPr>
        <w:t xml:space="preserve"> таблеток помещают в контейнеры из полиэтилена высокой плотности.</w:t>
      </w:r>
      <w:r w:rsidRPr="00E22DDB">
        <w:rPr>
          <w:sz w:val="24"/>
          <w:szCs w:val="24"/>
        </w:rPr>
        <w:t xml:space="preserve"> </w:t>
      </w:r>
      <w:r w:rsidRPr="00E22DDB">
        <w:rPr>
          <w:rFonts w:ascii="Times New Roman" w:hAnsi="Times New Roman" w:cs="Times New Roman"/>
          <w:bCs/>
          <w:sz w:val="24"/>
          <w:szCs w:val="24"/>
        </w:rPr>
        <w:t>По одному контейнеру вместе с инструкцией по медицинскому применению на казахском и русском языках помещают в пачку из картона.</w:t>
      </w:r>
    </w:p>
    <w:p w14:paraId="39F53E2C" w14:textId="77777777" w:rsidR="001A187F" w:rsidRPr="00E22DDB" w:rsidRDefault="001A187F" w:rsidP="001A187F">
      <w:pPr>
        <w:spacing w:after="0" w:line="240" w:lineRule="auto"/>
        <w:jc w:val="both"/>
        <w:rPr>
          <w:rFonts w:ascii="Times New Roman" w:hAnsi="Times New Roman" w:cs="Times New Roman"/>
          <w:bCs/>
          <w:sz w:val="24"/>
          <w:szCs w:val="24"/>
        </w:rPr>
      </w:pPr>
    </w:p>
    <w:p w14:paraId="105EE0F9" w14:textId="77777777" w:rsidR="001A187F" w:rsidRPr="00E22DDB" w:rsidRDefault="001A187F" w:rsidP="001A187F">
      <w:pPr>
        <w:spacing w:after="0" w:line="240" w:lineRule="auto"/>
        <w:jc w:val="both"/>
        <w:rPr>
          <w:rFonts w:ascii="Times New Roman" w:hAnsi="Times New Roman" w:cs="Times New Roman"/>
          <w:b/>
          <w:bCs/>
          <w:sz w:val="24"/>
          <w:szCs w:val="24"/>
        </w:rPr>
      </w:pPr>
      <w:r w:rsidRPr="00E22DDB">
        <w:rPr>
          <w:rFonts w:ascii="Times New Roman" w:hAnsi="Times New Roman" w:cs="Times New Roman"/>
          <w:b/>
          <w:bCs/>
          <w:sz w:val="24"/>
          <w:szCs w:val="24"/>
        </w:rPr>
        <w:t>6.6 Особые меры предосторожности при уничтожении использованного лекарственного препарата или отходов, полученных после применения лекарственного препарата или работы с ним.</w:t>
      </w:r>
    </w:p>
    <w:p w14:paraId="22E972C5" w14:textId="77777777" w:rsidR="001A187F" w:rsidRPr="00E22DDB" w:rsidRDefault="001A187F" w:rsidP="001A187F">
      <w:pPr>
        <w:spacing w:after="0" w:line="240" w:lineRule="auto"/>
        <w:jc w:val="both"/>
        <w:rPr>
          <w:rFonts w:ascii="Times New Roman" w:hAnsi="Times New Roman" w:cs="Times New Roman"/>
          <w:bCs/>
          <w:sz w:val="24"/>
          <w:szCs w:val="24"/>
        </w:rPr>
      </w:pPr>
      <w:r w:rsidRPr="00E22DDB">
        <w:rPr>
          <w:rFonts w:ascii="Times New Roman" w:hAnsi="Times New Roman" w:cs="Times New Roman"/>
          <w:bCs/>
          <w:sz w:val="24"/>
          <w:szCs w:val="24"/>
        </w:rPr>
        <w:t>Весь оставшийся лекарственный препарат и отходы следует уничтожить в установленном порядке.</w:t>
      </w:r>
    </w:p>
    <w:p w14:paraId="70E4BFE3" w14:textId="77777777" w:rsidR="001A187F" w:rsidRPr="00E22DDB" w:rsidRDefault="001A187F" w:rsidP="001A187F">
      <w:pPr>
        <w:spacing w:after="0" w:line="240" w:lineRule="auto"/>
        <w:jc w:val="both"/>
        <w:rPr>
          <w:rFonts w:ascii="Times New Roman" w:hAnsi="Times New Roman" w:cs="Times New Roman"/>
          <w:b/>
          <w:bCs/>
          <w:sz w:val="24"/>
          <w:szCs w:val="24"/>
        </w:rPr>
      </w:pPr>
    </w:p>
    <w:p w14:paraId="12A25CE1" w14:textId="77777777" w:rsidR="001A187F" w:rsidRPr="00E22DDB" w:rsidRDefault="001A187F" w:rsidP="001A187F">
      <w:pPr>
        <w:spacing w:after="0" w:line="240" w:lineRule="auto"/>
        <w:jc w:val="both"/>
        <w:rPr>
          <w:rFonts w:ascii="Times New Roman" w:hAnsi="Times New Roman" w:cs="Times New Roman"/>
          <w:b/>
          <w:bCs/>
          <w:sz w:val="24"/>
          <w:szCs w:val="24"/>
        </w:rPr>
      </w:pPr>
      <w:r w:rsidRPr="00E22DDB">
        <w:rPr>
          <w:rFonts w:ascii="Times New Roman" w:hAnsi="Times New Roman" w:cs="Times New Roman"/>
          <w:b/>
          <w:bCs/>
          <w:sz w:val="24"/>
          <w:szCs w:val="24"/>
        </w:rPr>
        <w:t xml:space="preserve">6.7 Условия отпуска из аптек </w:t>
      </w:r>
    </w:p>
    <w:p w14:paraId="79D1EF7D" w14:textId="77777777" w:rsidR="001A187F" w:rsidRPr="00E22DDB" w:rsidRDefault="001A187F" w:rsidP="001A187F">
      <w:pPr>
        <w:spacing w:after="0" w:line="240" w:lineRule="auto"/>
        <w:jc w:val="both"/>
        <w:rPr>
          <w:rFonts w:ascii="Times New Roman" w:hAnsi="Times New Roman" w:cs="Times New Roman"/>
          <w:bCs/>
          <w:sz w:val="24"/>
          <w:szCs w:val="24"/>
        </w:rPr>
      </w:pPr>
      <w:r w:rsidRPr="00E22DDB">
        <w:rPr>
          <w:rFonts w:ascii="Times New Roman" w:hAnsi="Times New Roman" w:cs="Times New Roman"/>
          <w:bCs/>
          <w:sz w:val="24"/>
          <w:szCs w:val="24"/>
        </w:rPr>
        <w:t>По рецепту</w:t>
      </w:r>
    </w:p>
    <w:p w14:paraId="05DD80C1" w14:textId="77777777" w:rsidR="001A187F" w:rsidRPr="00E22DDB" w:rsidRDefault="001A187F" w:rsidP="001A187F">
      <w:pPr>
        <w:spacing w:after="0" w:line="240" w:lineRule="auto"/>
        <w:jc w:val="both"/>
        <w:rPr>
          <w:rFonts w:ascii="Times New Roman" w:hAnsi="Times New Roman" w:cs="Times New Roman"/>
          <w:b/>
          <w:bCs/>
          <w:sz w:val="24"/>
          <w:szCs w:val="24"/>
        </w:rPr>
      </w:pPr>
    </w:p>
    <w:p w14:paraId="1DA126C9" w14:textId="77777777" w:rsidR="001A187F" w:rsidRPr="00E22DDB" w:rsidRDefault="001A187F" w:rsidP="001A187F">
      <w:pPr>
        <w:spacing w:after="0" w:line="240" w:lineRule="auto"/>
        <w:jc w:val="both"/>
        <w:rPr>
          <w:rFonts w:ascii="Times New Roman" w:hAnsi="Times New Roman" w:cs="Times New Roman"/>
          <w:b/>
          <w:bCs/>
          <w:sz w:val="24"/>
          <w:szCs w:val="24"/>
        </w:rPr>
      </w:pPr>
      <w:r w:rsidRPr="00E22DDB">
        <w:rPr>
          <w:rFonts w:ascii="Times New Roman" w:hAnsi="Times New Roman" w:cs="Times New Roman"/>
          <w:b/>
          <w:bCs/>
          <w:sz w:val="24"/>
          <w:szCs w:val="24"/>
        </w:rPr>
        <w:t>7. ДЕРЖАТЕЛЬ РЕГИСТРАЦИОННОГО УДОСТОВЕРЕНИЯ</w:t>
      </w:r>
    </w:p>
    <w:p w14:paraId="4A59A91D" w14:textId="3A3B630D" w:rsidR="001A187F" w:rsidRPr="00E22DDB" w:rsidRDefault="001A187F" w:rsidP="001A187F">
      <w:pPr>
        <w:spacing w:after="0" w:line="240" w:lineRule="auto"/>
        <w:jc w:val="both"/>
        <w:rPr>
          <w:rFonts w:ascii="Times New Roman" w:hAnsi="Times New Roman" w:cs="Times New Roman"/>
          <w:bCs/>
          <w:sz w:val="24"/>
          <w:szCs w:val="24"/>
        </w:rPr>
      </w:pPr>
      <w:r w:rsidRPr="00E22DDB">
        <w:rPr>
          <w:rFonts w:ascii="Times New Roman" w:hAnsi="Times New Roman" w:cs="Times New Roman"/>
          <w:bCs/>
          <w:sz w:val="24"/>
          <w:szCs w:val="24"/>
          <w:lang w:val="en-US"/>
        </w:rPr>
        <w:t>BDR</w:t>
      </w:r>
      <w:r w:rsidRPr="00E22DDB">
        <w:rPr>
          <w:rFonts w:ascii="Times New Roman" w:hAnsi="Times New Roman" w:cs="Times New Roman"/>
          <w:bCs/>
          <w:sz w:val="24"/>
          <w:szCs w:val="24"/>
        </w:rPr>
        <w:t xml:space="preserve"> </w:t>
      </w:r>
      <w:r w:rsidRPr="00E22DDB">
        <w:rPr>
          <w:rFonts w:ascii="Times New Roman" w:hAnsi="Times New Roman" w:cs="Times New Roman"/>
          <w:bCs/>
          <w:sz w:val="24"/>
          <w:szCs w:val="24"/>
          <w:lang w:val="en-US"/>
        </w:rPr>
        <w:t>Pharmaceuticals</w:t>
      </w:r>
      <w:r w:rsidRPr="00E22DDB">
        <w:rPr>
          <w:rFonts w:ascii="Times New Roman" w:hAnsi="Times New Roman" w:cs="Times New Roman"/>
          <w:bCs/>
          <w:sz w:val="24"/>
          <w:szCs w:val="24"/>
        </w:rPr>
        <w:t xml:space="preserve"> </w:t>
      </w:r>
      <w:r w:rsidRPr="00E22DDB">
        <w:rPr>
          <w:rFonts w:ascii="Times New Roman" w:hAnsi="Times New Roman" w:cs="Times New Roman"/>
          <w:bCs/>
          <w:sz w:val="24"/>
          <w:szCs w:val="24"/>
          <w:lang w:val="en-US"/>
        </w:rPr>
        <w:t>International</w:t>
      </w:r>
      <w:r w:rsidRPr="00E22DDB">
        <w:rPr>
          <w:rFonts w:ascii="Times New Roman" w:hAnsi="Times New Roman" w:cs="Times New Roman"/>
          <w:bCs/>
          <w:sz w:val="24"/>
          <w:szCs w:val="24"/>
        </w:rPr>
        <w:t xml:space="preserve"> </w:t>
      </w:r>
      <w:r w:rsidRPr="00E22DDB">
        <w:rPr>
          <w:rFonts w:ascii="Times New Roman" w:hAnsi="Times New Roman" w:cs="Times New Roman"/>
          <w:bCs/>
          <w:sz w:val="24"/>
          <w:szCs w:val="24"/>
          <w:lang w:val="en-US"/>
        </w:rPr>
        <w:t>Pvt</w:t>
      </w:r>
      <w:r w:rsidRPr="00E22DDB">
        <w:rPr>
          <w:rFonts w:ascii="Times New Roman" w:hAnsi="Times New Roman" w:cs="Times New Roman"/>
          <w:bCs/>
          <w:sz w:val="24"/>
          <w:szCs w:val="24"/>
        </w:rPr>
        <w:t xml:space="preserve">. </w:t>
      </w:r>
      <w:r w:rsidRPr="00E22DDB">
        <w:rPr>
          <w:rFonts w:ascii="Times New Roman" w:hAnsi="Times New Roman" w:cs="Times New Roman"/>
          <w:bCs/>
          <w:sz w:val="24"/>
          <w:szCs w:val="24"/>
          <w:lang w:val="en-US"/>
        </w:rPr>
        <w:t>Ltd</w:t>
      </w:r>
      <w:r w:rsidRPr="00E22DDB">
        <w:rPr>
          <w:rFonts w:ascii="Times New Roman" w:hAnsi="Times New Roman" w:cs="Times New Roman"/>
          <w:bCs/>
          <w:sz w:val="24"/>
          <w:szCs w:val="24"/>
        </w:rPr>
        <w:t xml:space="preserve">. </w:t>
      </w:r>
    </w:p>
    <w:p w14:paraId="6CB98AEF" w14:textId="77777777" w:rsidR="001A187F" w:rsidRPr="00E22DDB" w:rsidRDefault="001A187F" w:rsidP="001A187F">
      <w:pPr>
        <w:spacing w:after="0" w:line="240" w:lineRule="auto"/>
        <w:jc w:val="both"/>
        <w:rPr>
          <w:rFonts w:ascii="Times New Roman" w:hAnsi="Times New Roman" w:cs="Times New Roman"/>
          <w:bCs/>
          <w:sz w:val="24"/>
          <w:szCs w:val="24"/>
        </w:rPr>
      </w:pPr>
      <w:r w:rsidRPr="00E22DDB">
        <w:rPr>
          <w:rFonts w:ascii="Times New Roman" w:hAnsi="Times New Roman" w:cs="Times New Roman"/>
          <w:bCs/>
          <w:iCs/>
          <w:sz w:val="24"/>
          <w:szCs w:val="24"/>
          <w:lang w:val="en-US"/>
        </w:rPr>
        <w:t>R.S. No: 578, Near Effluent Chanel Road, Village: Luna, Taluka: Padra, District: Vadodara – 391440. Gujarat</w:t>
      </w:r>
      <w:r w:rsidRPr="00E22DDB">
        <w:rPr>
          <w:rFonts w:ascii="Times New Roman" w:hAnsi="Times New Roman" w:cs="Times New Roman"/>
          <w:bCs/>
          <w:iCs/>
          <w:sz w:val="24"/>
          <w:szCs w:val="24"/>
        </w:rPr>
        <w:t>,</w:t>
      </w:r>
      <w:r w:rsidRPr="00E22DDB">
        <w:rPr>
          <w:rFonts w:ascii="Times New Roman" w:hAnsi="Times New Roman" w:cs="Times New Roman"/>
          <w:bCs/>
          <w:sz w:val="24"/>
          <w:szCs w:val="24"/>
        </w:rPr>
        <w:t xml:space="preserve"> Индия.</w:t>
      </w:r>
    </w:p>
    <w:p w14:paraId="2513E504" w14:textId="77777777" w:rsidR="001A187F" w:rsidRPr="00E22DDB" w:rsidRDefault="001A187F" w:rsidP="001A187F">
      <w:pPr>
        <w:spacing w:after="0" w:line="240" w:lineRule="auto"/>
        <w:jc w:val="both"/>
        <w:rPr>
          <w:rFonts w:ascii="Times New Roman" w:hAnsi="Times New Roman" w:cs="Times New Roman"/>
          <w:bCs/>
          <w:iCs/>
          <w:sz w:val="24"/>
          <w:szCs w:val="24"/>
        </w:rPr>
      </w:pPr>
      <w:r w:rsidRPr="00E22DDB">
        <w:rPr>
          <w:rFonts w:ascii="Times New Roman" w:hAnsi="Times New Roman" w:cs="Times New Roman"/>
          <w:bCs/>
          <w:iCs/>
          <w:sz w:val="24"/>
          <w:szCs w:val="24"/>
        </w:rPr>
        <w:t xml:space="preserve">тел. </w:t>
      </w:r>
      <w:r w:rsidRPr="00E22DDB">
        <w:rPr>
          <w:rFonts w:ascii="Times New Roman" w:eastAsia="Consolas" w:hAnsi="Times New Roman" w:cs="Times New Roman"/>
          <w:bCs/>
          <w:sz w:val="24"/>
          <w:szCs w:val="24"/>
        </w:rPr>
        <w:t>+91 22 4056 0560</w:t>
      </w:r>
    </w:p>
    <w:p w14:paraId="07459D67" w14:textId="77777777" w:rsidR="001A187F" w:rsidRPr="00E22DDB" w:rsidRDefault="001A187F" w:rsidP="001A187F">
      <w:pPr>
        <w:spacing w:after="0" w:line="240" w:lineRule="auto"/>
        <w:jc w:val="both"/>
        <w:rPr>
          <w:rFonts w:ascii="Times New Roman" w:hAnsi="Times New Roman" w:cs="Times New Roman"/>
          <w:bCs/>
          <w:sz w:val="24"/>
          <w:szCs w:val="24"/>
        </w:rPr>
      </w:pPr>
      <w:r w:rsidRPr="00E22DDB">
        <w:rPr>
          <w:rFonts w:ascii="Times New Roman" w:hAnsi="Times New Roman" w:cs="Times New Roman"/>
          <w:bCs/>
          <w:sz w:val="24"/>
          <w:szCs w:val="24"/>
          <w:lang w:val="en-US"/>
        </w:rPr>
        <w:t>bdrpharma</w:t>
      </w:r>
      <w:r w:rsidRPr="00E22DDB">
        <w:rPr>
          <w:rFonts w:ascii="Times New Roman" w:hAnsi="Times New Roman" w:cs="Times New Roman"/>
          <w:bCs/>
          <w:sz w:val="24"/>
          <w:szCs w:val="24"/>
        </w:rPr>
        <w:t>@</w:t>
      </w:r>
      <w:r w:rsidRPr="00E22DDB">
        <w:rPr>
          <w:rFonts w:ascii="Times New Roman" w:hAnsi="Times New Roman" w:cs="Times New Roman"/>
          <w:bCs/>
          <w:sz w:val="24"/>
          <w:szCs w:val="24"/>
          <w:lang w:val="en-US"/>
        </w:rPr>
        <w:t>vsnl</w:t>
      </w:r>
      <w:r w:rsidRPr="00E22DDB">
        <w:rPr>
          <w:rFonts w:ascii="Times New Roman" w:hAnsi="Times New Roman" w:cs="Times New Roman"/>
          <w:bCs/>
          <w:sz w:val="24"/>
          <w:szCs w:val="24"/>
        </w:rPr>
        <w:t>.</w:t>
      </w:r>
      <w:r w:rsidRPr="00E22DDB">
        <w:rPr>
          <w:rFonts w:ascii="Times New Roman" w:hAnsi="Times New Roman" w:cs="Times New Roman"/>
          <w:bCs/>
          <w:sz w:val="24"/>
          <w:szCs w:val="24"/>
          <w:lang w:val="en-US"/>
        </w:rPr>
        <w:t>com</w:t>
      </w:r>
    </w:p>
    <w:p w14:paraId="14B42ED2" w14:textId="77777777" w:rsidR="001A187F" w:rsidRPr="00E22DDB" w:rsidRDefault="001A187F" w:rsidP="001A187F">
      <w:pPr>
        <w:spacing w:after="0" w:line="240" w:lineRule="auto"/>
        <w:ind w:firstLine="708"/>
        <w:jc w:val="both"/>
        <w:rPr>
          <w:rFonts w:ascii="Times New Roman" w:hAnsi="Times New Roman" w:cs="Times New Roman"/>
          <w:bCs/>
          <w:sz w:val="24"/>
          <w:szCs w:val="24"/>
        </w:rPr>
      </w:pPr>
      <w:r w:rsidRPr="00E22DDB">
        <w:rPr>
          <w:rFonts w:ascii="Times New Roman" w:hAnsi="Times New Roman" w:cs="Times New Roman"/>
          <w:bCs/>
          <w:sz w:val="24"/>
          <w:szCs w:val="24"/>
        </w:rPr>
        <w:t>      </w:t>
      </w:r>
    </w:p>
    <w:p w14:paraId="5F74DCD1" w14:textId="77777777" w:rsidR="001A187F" w:rsidRPr="00E22DDB" w:rsidRDefault="001A187F" w:rsidP="001A187F">
      <w:pPr>
        <w:spacing w:after="0" w:line="240" w:lineRule="auto"/>
        <w:jc w:val="both"/>
        <w:rPr>
          <w:rFonts w:ascii="Times New Roman" w:hAnsi="Times New Roman" w:cs="Times New Roman"/>
          <w:b/>
          <w:bCs/>
          <w:iCs/>
          <w:sz w:val="24"/>
          <w:szCs w:val="24"/>
        </w:rPr>
      </w:pPr>
      <w:r w:rsidRPr="00E22DDB">
        <w:rPr>
          <w:rFonts w:ascii="Times New Roman" w:hAnsi="Times New Roman" w:cs="Times New Roman"/>
          <w:b/>
          <w:bCs/>
          <w:iCs/>
          <w:sz w:val="24"/>
          <w:szCs w:val="24"/>
        </w:rPr>
        <w:t>7.1. ПРЕДСТАВИТЕЛЬ ДЕРЖАТЕЛЯ РЕГИСТРАЦИОННОГО УДОСТОВЕРЕНИЯ</w:t>
      </w:r>
    </w:p>
    <w:p w14:paraId="2148366A" w14:textId="77777777" w:rsidR="001A187F" w:rsidRPr="00E22DDB" w:rsidRDefault="001A187F" w:rsidP="001A187F">
      <w:pPr>
        <w:spacing w:after="0" w:line="240" w:lineRule="auto"/>
        <w:jc w:val="both"/>
        <w:rPr>
          <w:rFonts w:ascii="Times New Roman" w:hAnsi="Times New Roman" w:cs="Times New Roman"/>
          <w:bCs/>
          <w:sz w:val="24"/>
          <w:szCs w:val="24"/>
        </w:rPr>
      </w:pPr>
      <w:r w:rsidRPr="00E22DDB">
        <w:rPr>
          <w:rFonts w:ascii="Times New Roman" w:hAnsi="Times New Roman" w:cs="Times New Roman"/>
          <w:bCs/>
          <w:iCs/>
          <w:sz w:val="24"/>
          <w:szCs w:val="24"/>
        </w:rPr>
        <w:t>Претензии потребителей направлять по адресу:</w:t>
      </w:r>
    </w:p>
    <w:p w14:paraId="6A5C36FA" w14:textId="77777777" w:rsidR="001A187F" w:rsidRPr="00E22DDB" w:rsidRDefault="001A187F" w:rsidP="001A187F">
      <w:pPr>
        <w:spacing w:after="0" w:line="240" w:lineRule="auto"/>
        <w:jc w:val="both"/>
        <w:rPr>
          <w:rFonts w:ascii="Times New Roman" w:hAnsi="Times New Roman" w:cs="Times New Roman"/>
          <w:bCs/>
          <w:iCs/>
          <w:sz w:val="24"/>
          <w:szCs w:val="24"/>
        </w:rPr>
      </w:pPr>
      <w:r w:rsidRPr="00E22DDB">
        <w:rPr>
          <w:rFonts w:ascii="Times New Roman" w:hAnsi="Times New Roman" w:cs="Times New Roman"/>
          <w:bCs/>
          <w:iCs/>
          <w:sz w:val="24"/>
          <w:szCs w:val="24"/>
        </w:rPr>
        <w:t>ТОО «</w:t>
      </w:r>
      <w:r w:rsidRPr="00E22DDB">
        <w:rPr>
          <w:rFonts w:ascii="Times New Roman" w:hAnsi="Times New Roman" w:cs="Times New Roman"/>
          <w:bCs/>
          <w:iCs/>
          <w:sz w:val="24"/>
          <w:szCs w:val="24"/>
          <w:lang w:val="en-US"/>
        </w:rPr>
        <w:t>Rogers</w:t>
      </w:r>
      <w:r w:rsidRPr="00E22DDB">
        <w:rPr>
          <w:rFonts w:ascii="Times New Roman" w:hAnsi="Times New Roman" w:cs="Times New Roman"/>
          <w:bCs/>
          <w:iCs/>
          <w:sz w:val="24"/>
          <w:szCs w:val="24"/>
        </w:rPr>
        <w:t xml:space="preserve"> </w:t>
      </w:r>
      <w:r w:rsidRPr="00E22DDB">
        <w:rPr>
          <w:rFonts w:ascii="Times New Roman" w:hAnsi="Times New Roman" w:cs="Times New Roman"/>
          <w:bCs/>
          <w:iCs/>
          <w:sz w:val="24"/>
          <w:szCs w:val="24"/>
          <w:lang w:val="en-US"/>
        </w:rPr>
        <w:t>Pharma</w:t>
      </w:r>
      <w:r w:rsidRPr="00E22DDB">
        <w:rPr>
          <w:rFonts w:ascii="Times New Roman" w:hAnsi="Times New Roman" w:cs="Times New Roman"/>
          <w:bCs/>
          <w:iCs/>
          <w:sz w:val="24"/>
          <w:szCs w:val="24"/>
        </w:rPr>
        <w:t xml:space="preserve">», Республика Казахстан, 050043, </w:t>
      </w:r>
    </w:p>
    <w:p w14:paraId="6EB6170B" w14:textId="2630FF06" w:rsidR="001A187F" w:rsidRPr="00E22DDB" w:rsidRDefault="001A187F" w:rsidP="001A187F">
      <w:pPr>
        <w:spacing w:after="0" w:line="240" w:lineRule="auto"/>
        <w:jc w:val="both"/>
        <w:rPr>
          <w:rFonts w:ascii="Times New Roman" w:hAnsi="Times New Roman" w:cs="Times New Roman"/>
          <w:bCs/>
          <w:iCs/>
          <w:sz w:val="24"/>
          <w:szCs w:val="24"/>
        </w:rPr>
      </w:pPr>
      <w:r w:rsidRPr="00E22DDB">
        <w:rPr>
          <w:rFonts w:ascii="Times New Roman" w:hAnsi="Times New Roman" w:cs="Times New Roman"/>
          <w:bCs/>
          <w:iCs/>
          <w:sz w:val="24"/>
          <w:szCs w:val="24"/>
        </w:rPr>
        <w:t xml:space="preserve">г. Алматы, мкн. Мирас, </w:t>
      </w:r>
      <w:r w:rsidR="000D1BF9" w:rsidRPr="00E22DDB">
        <w:rPr>
          <w:rFonts w:ascii="Times New Roman" w:hAnsi="Times New Roman" w:cs="Times New Roman"/>
          <w:bCs/>
          <w:iCs/>
          <w:sz w:val="24"/>
          <w:szCs w:val="24"/>
        </w:rPr>
        <w:t>дом 157, офис 819</w:t>
      </w:r>
    </w:p>
    <w:p w14:paraId="5A9EF55C" w14:textId="5CE5A1A4" w:rsidR="001A187F" w:rsidRPr="00E22DDB" w:rsidRDefault="001A187F" w:rsidP="001A187F">
      <w:pPr>
        <w:spacing w:after="0" w:line="240" w:lineRule="auto"/>
        <w:jc w:val="both"/>
        <w:rPr>
          <w:rFonts w:ascii="Times New Roman" w:hAnsi="Times New Roman" w:cs="Times New Roman"/>
          <w:bCs/>
          <w:sz w:val="24"/>
          <w:szCs w:val="24"/>
        </w:rPr>
      </w:pPr>
      <w:r w:rsidRPr="00E22DDB">
        <w:rPr>
          <w:rFonts w:ascii="Times New Roman" w:hAnsi="Times New Roman" w:cs="Times New Roman"/>
          <w:bCs/>
          <w:sz w:val="24"/>
          <w:szCs w:val="24"/>
        </w:rPr>
        <w:t>Тел. +7</w:t>
      </w:r>
      <w:r w:rsidR="00343DF8" w:rsidRPr="00E22DDB">
        <w:rPr>
          <w:rFonts w:ascii="Times New Roman" w:hAnsi="Times New Roman" w:cs="Times New Roman"/>
          <w:bCs/>
          <w:sz w:val="24"/>
          <w:szCs w:val="24"/>
        </w:rPr>
        <w:t> (</w:t>
      </w:r>
      <w:r w:rsidRPr="00E22DDB">
        <w:rPr>
          <w:rFonts w:ascii="Times New Roman" w:hAnsi="Times New Roman" w:cs="Times New Roman"/>
          <w:bCs/>
          <w:sz w:val="24"/>
          <w:szCs w:val="24"/>
        </w:rPr>
        <w:t>727</w:t>
      </w:r>
      <w:r w:rsidR="00343DF8" w:rsidRPr="00E22DDB">
        <w:rPr>
          <w:rFonts w:ascii="Times New Roman" w:hAnsi="Times New Roman" w:cs="Times New Roman"/>
          <w:bCs/>
          <w:sz w:val="24"/>
          <w:szCs w:val="24"/>
        </w:rPr>
        <w:t>) </w:t>
      </w:r>
      <w:r w:rsidRPr="00E22DDB">
        <w:rPr>
          <w:rFonts w:ascii="Times New Roman" w:hAnsi="Times New Roman" w:cs="Times New Roman"/>
          <w:bCs/>
          <w:sz w:val="24"/>
          <w:szCs w:val="24"/>
        </w:rPr>
        <w:t>311</w:t>
      </w:r>
      <w:r w:rsidR="00343DF8" w:rsidRPr="00E22DDB">
        <w:rPr>
          <w:rFonts w:ascii="Times New Roman" w:hAnsi="Times New Roman" w:cs="Times New Roman"/>
          <w:bCs/>
          <w:sz w:val="24"/>
          <w:szCs w:val="24"/>
        </w:rPr>
        <w:t>-</w:t>
      </w:r>
      <w:r w:rsidRPr="00E22DDB">
        <w:rPr>
          <w:rFonts w:ascii="Times New Roman" w:hAnsi="Times New Roman" w:cs="Times New Roman"/>
          <w:bCs/>
          <w:sz w:val="24"/>
          <w:szCs w:val="24"/>
        </w:rPr>
        <w:t>81</w:t>
      </w:r>
      <w:r w:rsidR="00343DF8" w:rsidRPr="00E22DDB">
        <w:rPr>
          <w:rFonts w:ascii="Times New Roman" w:hAnsi="Times New Roman" w:cs="Times New Roman"/>
          <w:bCs/>
          <w:sz w:val="24"/>
          <w:szCs w:val="24"/>
        </w:rPr>
        <w:t>-</w:t>
      </w:r>
      <w:r w:rsidRPr="00E22DDB">
        <w:rPr>
          <w:rFonts w:ascii="Times New Roman" w:hAnsi="Times New Roman" w:cs="Times New Roman"/>
          <w:bCs/>
          <w:sz w:val="24"/>
          <w:szCs w:val="24"/>
        </w:rPr>
        <w:t>96/97</w:t>
      </w:r>
    </w:p>
    <w:p w14:paraId="1F37A7B6" w14:textId="77777777" w:rsidR="001A187F" w:rsidRPr="00E22DDB" w:rsidRDefault="001A187F" w:rsidP="001A187F">
      <w:pPr>
        <w:spacing w:after="0" w:line="240" w:lineRule="auto"/>
        <w:jc w:val="both"/>
        <w:rPr>
          <w:rFonts w:ascii="Times New Roman" w:hAnsi="Times New Roman" w:cs="Times New Roman"/>
          <w:bCs/>
          <w:sz w:val="24"/>
          <w:szCs w:val="24"/>
        </w:rPr>
      </w:pPr>
      <w:r w:rsidRPr="00E22DDB">
        <w:rPr>
          <w:rFonts w:ascii="Times New Roman" w:hAnsi="Times New Roman" w:cs="Times New Roman"/>
          <w:bCs/>
          <w:sz w:val="24"/>
          <w:szCs w:val="24"/>
          <w:lang w:val="en-US"/>
        </w:rPr>
        <w:t>Office</w:t>
      </w:r>
      <w:r w:rsidRPr="00E22DDB">
        <w:rPr>
          <w:rFonts w:ascii="Times New Roman" w:hAnsi="Times New Roman" w:cs="Times New Roman"/>
          <w:bCs/>
          <w:sz w:val="24"/>
          <w:szCs w:val="24"/>
        </w:rPr>
        <w:t>.</w:t>
      </w:r>
      <w:r w:rsidRPr="00E22DDB">
        <w:rPr>
          <w:rFonts w:ascii="Times New Roman" w:hAnsi="Times New Roman" w:cs="Times New Roman"/>
          <w:bCs/>
          <w:sz w:val="24"/>
          <w:szCs w:val="24"/>
          <w:lang w:val="en-US"/>
        </w:rPr>
        <w:t>secretary</w:t>
      </w:r>
      <w:r w:rsidRPr="00E22DDB">
        <w:rPr>
          <w:rFonts w:ascii="Times New Roman" w:hAnsi="Times New Roman" w:cs="Times New Roman"/>
          <w:bCs/>
          <w:sz w:val="24"/>
          <w:szCs w:val="24"/>
        </w:rPr>
        <w:t>@</w:t>
      </w:r>
      <w:r w:rsidRPr="00E22DDB">
        <w:rPr>
          <w:rFonts w:ascii="Times New Roman" w:hAnsi="Times New Roman" w:cs="Times New Roman"/>
          <w:bCs/>
          <w:sz w:val="24"/>
          <w:szCs w:val="24"/>
          <w:lang w:val="en-US"/>
        </w:rPr>
        <w:t>rogersgroup</w:t>
      </w:r>
      <w:r w:rsidRPr="00E22DDB">
        <w:rPr>
          <w:rFonts w:ascii="Times New Roman" w:hAnsi="Times New Roman" w:cs="Times New Roman"/>
          <w:bCs/>
          <w:sz w:val="24"/>
          <w:szCs w:val="24"/>
        </w:rPr>
        <w:t>.</w:t>
      </w:r>
      <w:r w:rsidRPr="00E22DDB">
        <w:rPr>
          <w:rFonts w:ascii="Times New Roman" w:hAnsi="Times New Roman" w:cs="Times New Roman"/>
          <w:bCs/>
          <w:sz w:val="24"/>
          <w:szCs w:val="24"/>
          <w:lang w:val="en-US"/>
        </w:rPr>
        <w:t>in  </w:t>
      </w:r>
    </w:p>
    <w:p w14:paraId="3529AA10" w14:textId="77777777" w:rsidR="001A187F" w:rsidRPr="00E22DDB" w:rsidRDefault="001A187F" w:rsidP="001A187F">
      <w:pPr>
        <w:spacing w:after="0" w:line="240" w:lineRule="auto"/>
        <w:ind w:firstLine="708"/>
        <w:jc w:val="both"/>
        <w:rPr>
          <w:rFonts w:ascii="Times New Roman" w:hAnsi="Times New Roman" w:cs="Times New Roman"/>
          <w:bCs/>
          <w:sz w:val="24"/>
          <w:szCs w:val="24"/>
        </w:rPr>
      </w:pPr>
      <w:r w:rsidRPr="00E22DDB">
        <w:rPr>
          <w:rFonts w:ascii="Times New Roman" w:hAnsi="Times New Roman" w:cs="Times New Roman"/>
          <w:bCs/>
          <w:sz w:val="24"/>
          <w:szCs w:val="24"/>
        </w:rPr>
        <w:t>    </w:t>
      </w:r>
    </w:p>
    <w:p w14:paraId="1A6E0374" w14:textId="77777777" w:rsidR="001A187F" w:rsidRPr="00E22DDB" w:rsidRDefault="001A187F" w:rsidP="001A187F">
      <w:pPr>
        <w:spacing w:after="0" w:line="240" w:lineRule="auto"/>
        <w:jc w:val="both"/>
        <w:rPr>
          <w:rFonts w:ascii="Times New Roman" w:hAnsi="Times New Roman" w:cs="Times New Roman"/>
          <w:b/>
          <w:bCs/>
          <w:sz w:val="24"/>
          <w:szCs w:val="24"/>
        </w:rPr>
      </w:pPr>
      <w:r w:rsidRPr="00E22DDB">
        <w:rPr>
          <w:rFonts w:ascii="Times New Roman" w:hAnsi="Times New Roman" w:cs="Times New Roman"/>
          <w:b/>
          <w:bCs/>
          <w:sz w:val="24"/>
          <w:szCs w:val="24"/>
        </w:rPr>
        <w:t>8. НОМЕР РЕГИСТРАЦИОННОГО УДОСТОВЕРЕНИЯ</w:t>
      </w:r>
    </w:p>
    <w:p w14:paraId="0987323D" w14:textId="1E9315F2" w:rsidR="001A187F" w:rsidRPr="00E22DDB" w:rsidRDefault="001A187F" w:rsidP="001A187F">
      <w:pPr>
        <w:spacing w:after="0" w:line="240" w:lineRule="auto"/>
        <w:jc w:val="both"/>
        <w:rPr>
          <w:rFonts w:ascii="Times New Roman" w:hAnsi="Times New Roman" w:cs="Times New Roman"/>
          <w:bCs/>
        </w:rPr>
      </w:pPr>
      <w:r w:rsidRPr="00E22DDB">
        <w:rPr>
          <w:rFonts w:ascii="Times New Roman" w:hAnsi="Times New Roman" w:cs="Times New Roman"/>
          <w:bCs/>
          <w:sz w:val="24"/>
          <w:szCs w:val="24"/>
        </w:rPr>
        <w:t xml:space="preserve">РК-ЛС-5№024668 </w:t>
      </w:r>
    </w:p>
    <w:p w14:paraId="4B6A40BA" w14:textId="77777777" w:rsidR="001A187F" w:rsidRPr="00E22DDB" w:rsidRDefault="001A187F" w:rsidP="001A187F">
      <w:pPr>
        <w:spacing w:after="0" w:line="240" w:lineRule="auto"/>
        <w:ind w:firstLine="708"/>
        <w:jc w:val="both"/>
        <w:rPr>
          <w:rFonts w:ascii="Times New Roman" w:hAnsi="Times New Roman" w:cs="Times New Roman"/>
          <w:bCs/>
          <w:sz w:val="24"/>
          <w:szCs w:val="24"/>
        </w:rPr>
      </w:pPr>
    </w:p>
    <w:p w14:paraId="464209E5" w14:textId="77777777" w:rsidR="001A187F" w:rsidRPr="00E22DDB" w:rsidRDefault="001A187F" w:rsidP="001A187F">
      <w:pPr>
        <w:spacing w:after="0" w:line="240" w:lineRule="auto"/>
        <w:jc w:val="both"/>
        <w:rPr>
          <w:rFonts w:ascii="Times New Roman" w:hAnsi="Times New Roman" w:cs="Times New Roman"/>
          <w:bCs/>
          <w:sz w:val="24"/>
          <w:szCs w:val="24"/>
        </w:rPr>
      </w:pPr>
      <w:r w:rsidRPr="00E22DDB">
        <w:rPr>
          <w:rFonts w:ascii="Times New Roman" w:hAnsi="Times New Roman" w:cs="Times New Roman"/>
          <w:b/>
          <w:bCs/>
          <w:sz w:val="24"/>
          <w:szCs w:val="24"/>
        </w:rPr>
        <w:t>9. ДАТА ПЕРВИЧНОЙ РЕГИСТРАЦИИ (ПОДТВЕРЖДЕНИЯ РЕГИСТРАЦИИ, ПЕРЕРЕГИСТРАЦИИ</w:t>
      </w:r>
      <w:r w:rsidRPr="00E22DDB">
        <w:rPr>
          <w:rFonts w:ascii="Times New Roman" w:hAnsi="Times New Roman" w:cs="Times New Roman"/>
          <w:bCs/>
          <w:sz w:val="24"/>
          <w:szCs w:val="24"/>
        </w:rPr>
        <w:t>)</w:t>
      </w:r>
    </w:p>
    <w:p w14:paraId="6E82665D" w14:textId="77777777" w:rsidR="001A187F" w:rsidRPr="00E22DDB" w:rsidRDefault="001A187F" w:rsidP="001A187F">
      <w:pPr>
        <w:spacing w:after="0" w:line="240" w:lineRule="auto"/>
        <w:jc w:val="both"/>
        <w:rPr>
          <w:rFonts w:ascii="Times New Roman" w:hAnsi="Times New Roman" w:cs="Times New Roman"/>
          <w:bCs/>
          <w:sz w:val="24"/>
          <w:szCs w:val="24"/>
          <w:lang w:bidi="ru-RU"/>
        </w:rPr>
      </w:pPr>
      <w:r w:rsidRPr="00E22DDB">
        <w:rPr>
          <w:rFonts w:ascii="Times New Roman" w:hAnsi="Times New Roman" w:cs="Times New Roman"/>
          <w:bCs/>
          <w:sz w:val="24"/>
          <w:szCs w:val="24"/>
          <w:lang w:bidi="ru-RU"/>
        </w:rPr>
        <w:t>Дата первой регистрации: 06.08.2020</w:t>
      </w:r>
      <w:r w:rsidRPr="00E22DDB">
        <w:rPr>
          <w:rFonts w:ascii="Times New Roman" w:hAnsi="Times New Roman" w:cs="Times New Roman"/>
          <w:bCs/>
          <w:sz w:val="24"/>
          <w:szCs w:val="24"/>
          <w:lang w:bidi="ru-RU"/>
        </w:rPr>
        <w:tab/>
      </w:r>
    </w:p>
    <w:p w14:paraId="1B9DE544" w14:textId="77777777" w:rsidR="001A187F" w:rsidRPr="00E22DDB" w:rsidRDefault="001A187F" w:rsidP="001A187F">
      <w:pPr>
        <w:spacing w:after="0" w:line="240" w:lineRule="auto"/>
        <w:jc w:val="both"/>
        <w:rPr>
          <w:rFonts w:ascii="Times New Roman" w:hAnsi="Times New Roman" w:cs="Times New Roman"/>
          <w:bCs/>
          <w:sz w:val="24"/>
          <w:szCs w:val="24"/>
        </w:rPr>
      </w:pPr>
    </w:p>
    <w:p w14:paraId="13710F56" w14:textId="77777777" w:rsidR="001A187F" w:rsidRPr="00E22DDB" w:rsidRDefault="001A187F" w:rsidP="001A187F">
      <w:pPr>
        <w:spacing w:after="0" w:line="240" w:lineRule="auto"/>
        <w:jc w:val="both"/>
        <w:rPr>
          <w:rFonts w:ascii="Times New Roman" w:hAnsi="Times New Roman" w:cs="Times New Roman"/>
          <w:b/>
          <w:bCs/>
          <w:sz w:val="24"/>
          <w:szCs w:val="24"/>
        </w:rPr>
      </w:pPr>
      <w:r w:rsidRPr="00E22DDB">
        <w:rPr>
          <w:rFonts w:ascii="Times New Roman" w:hAnsi="Times New Roman" w:cs="Times New Roman"/>
          <w:b/>
          <w:bCs/>
          <w:sz w:val="24"/>
          <w:szCs w:val="24"/>
        </w:rPr>
        <w:t>10. ДАТА ПЕРЕСМОТРА ТЕКСТА</w:t>
      </w:r>
    </w:p>
    <w:p w14:paraId="73662178" w14:textId="77777777" w:rsidR="001A187F" w:rsidRPr="00E22DDB" w:rsidRDefault="001A187F" w:rsidP="001A187F">
      <w:pPr>
        <w:spacing w:after="0" w:line="240" w:lineRule="auto"/>
        <w:ind w:firstLine="708"/>
        <w:jc w:val="both"/>
        <w:rPr>
          <w:rFonts w:ascii="Times New Roman" w:hAnsi="Times New Roman" w:cs="Times New Roman"/>
          <w:bCs/>
          <w:sz w:val="24"/>
          <w:szCs w:val="24"/>
        </w:rPr>
      </w:pPr>
      <w:r w:rsidRPr="00E22DDB">
        <w:rPr>
          <w:rFonts w:ascii="Times New Roman" w:hAnsi="Times New Roman" w:cs="Times New Roman"/>
          <w:bCs/>
          <w:sz w:val="24"/>
          <w:szCs w:val="24"/>
        </w:rPr>
        <w:t>   </w:t>
      </w:r>
    </w:p>
    <w:p w14:paraId="301EE085" w14:textId="77777777" w:rsidR="001A187F" w:rsidRPr="00D90203" w:rsidRDefault="001A187F" w:rsidP="001A187F">
      <w:pPr>
        <w:spacing w:after="0" w:line="240" w:lineRule="auto"/>
        <w:jc w:val="both"/>
        <w:rPr>
          <w:rFonts w:ascii="Times New Roman" w:hAnsi="Times New Roman" w:cs="Times New Roman"/>
          <w:bCs/>
          <w:sz w:val="24"/>
          <w:szCs w:val="24"/>
        </w:rPr>
      </w:pPr>
      <w:r w:rsidRPr="00E22DDB">
        <w:rPr>
          <w:rFonts w:ascii="Times New Roman" w:hAnsi="Times New Roman" w:cs="Times New Roman"/>
          <w:bCs/>
          <w:sz w:val="24"/>
          <w:szCs w:val="24"/>
        </w:rPr>
        <w:t xml:space="preserve">Общая характеристика лекарственного препарата доступна на официальном сайте </w:t>
      </w:r>
      <w:r w:rsidRPr="00E22DDB">
        <w:rPr>
          <w:rFonts w:ascii="Times New Roman" w:hAnsi="Times New Roman" w:cs="Times New Roman"/>
          <w:bCs/>
          <w:sz w:val="24"/>
          <w:szCs w:val="24"/>
          <w:lang w:val="en-US"/>
        </w:rPr>
        <w:t>www</w:t>
      </w:r>
      <w:r w:rsidRPr="00E22DDB">
        <w:rPr>
          <w:rFonts w:ascii="Times New Roman" w:hAnsi="Times New Roman" w:cs="Times New Roman"/>
          <w:bCs/>
          <w:sz w:val="24"/>
          <w:szCs w:val="24"/>
        </w:rPr>
        <w:t>.</w:t>
      </w:r>
      <w:r w:rsidRPr="00E22DDB">
        <w:rPr>
          <w:rFonts w:ascii="Times New Roman" w:hAnsi="Times New Roman" w:cs="Times New Roman"/>
          <w:bCs/>
          <w:sz w:val="24"/>
          <w:szCs w:val="24"/>
          <w:lang w:val="en-US"/>
        </w:rPr>
        <w:t>ndda</w:t>
      </w:r>
      <w:r w:rsidRPr="00E22DDB">
        <w:rPr>
          <w:rFonts w:ascii="Times New Roman" w:hAnsi="Times New Roman" w:cs="Times New Roman"/>
          <w:bCs/>
          <w:sz w:val="24"/>
          <w:szCs w:val="24"/>
        </w:rPr>
        <w:t>.</w:t>
      </w:r>
      <w:r w:rsidRPr="00E22DDB">
        <w:rPr>
          <w:rFonts w:ascii="Times New Roman" w:hAnsi="Times New Roman" w:cs="Times New Roman"/>
          <w:bCs/>
          <w:sz w:val="24"/>
          <w:szCs w:val="24"/>
          <w:lang w:val="en-US"/>
        </w:rPr>
        <w:t>kz</w:t>
      </w:r>
      <w:r w:rsidRPr="00E22DDB">
        <w:rPr>
          <w:rFonts w:ascii="Times New Roman" w:hAnsi="Times New Roman" w:cs="Times New Roman"/>
          <w:bCs/>
          <w:sz w:val="24"/>
          <w:szCs w:val="24"/>
        </w:rPr>
        <w:t>.</w:t>
      </w:r>
    </w:p>
    <w:p w14:paraId="564A48B5" w14:textId="0B4B0243" w:rsidR="00A72229" w:rsidRPr="00D90203" w:rsidRDefault="00A72229" w:rsidP="001A187F">
      <w:pPr>
        <w:spacing w:after="0" w:line="240" w:lineRule="auto"/>
        <w:jc w:val="both"/>
        <w:rPr>
          <w:rFonts w:ascii="Times New Roman" w:hAnsi="Times New Roman" w:cs="Times New Roman"/>
          <w:bCs/>
          <w:sz w:val="24"/>
          <w:szCs w:val="24"/>
        </w:rPr>
      </w:pPr>
    </w:p>
    <w:sectPr w:rsidR="00A72229" w:rsidRPr="00D90203">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2A0C6" w14:textId="77777777" w:rsidR="007610DE" w:rsidRDefault="007610DE" w:rsidP="002B302D">
      <w:pPr>
        <w:spacing w:after="0" w:line="240" w:lineRule="auto"/>
      </w:pPr>
      <w:r>
        <w:separator/>
      </w:r>
    </w:p>
  </w:endnote>
  <w:endnote w:type="continuationSeparator" w:id="0">
    <w:p w14:paraId="3B6094EA" w14:textId="77777777" w:rsidR="007610DE" w:rsidRDefault="007610DE" w:rsidP="002B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 w:name="HelveticaWorld-Regular">
    <w:altName w:val="MS Mincho"/>
    <w:panose1 w:val="00000000000000000000"/>
    <w:charset w:val="80"/>
    <w:family w:val="auto"/>
    <w:notTrueType/>
    <w:pitch w:val="default"/>
    <w:sig w:usb0="00000003" w:usb1="08070000" w:usb2="00000010" w:usb3="00000000" w:csb0="0002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D077" w14:textId="77777777" w:rsidR="007610DE" w:rsidRDefault="007610DE" w:rsidP="002B302D">
      <w:pPr>
        <w:spacing w:after="0" w:line="240" w:lineRule="auto"/>
      </w:pPr>
      <w:r>
        <w:separator/>
      </w:r>
    </w:p>
  </w:footnote>
  <w:footnote w:type="continuationSeparator" w:id="0">
    <w:p w14:paraId="6595EF09" w14:textId="77777777" w:rsidR="007610DE" w:rsidRDefault="007610DE" w:rsidP="002B3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F998" w14:textId="77777777" w:rsidR="0024227F" w:rsidRDefault="0024227F">
    <w:pPr>
      <w:pStyle w:val="af0"/>
    </w:pPr>
    <w:r>
      <w:rPr>
        <w:noProof/>
        <w:lang w:val="ru-RU" w:eastAsia="ru-RU"/>
      </w:rPr>
      <mc:AlternateContent>
        <mc:Choice Requires="wps">
          <w:drawing>
            <wp:anchor distT="0" distB="0" distL="114300" distR="114300" simplePos="0" relativeHeight="251660288" behindDoc="0" locked="0" layoutInCell="1" allowOverlap="1" wp14:anchorId="762ED6D4" wp14:editId="7DF47FEB">
              <wp:simplePos x="0" y="0"/>
              <wp:positionH relativeFrom="column">
                <wp:posOffset>6099175</wp:posOffset>
              </wp:positionH>
              <wp:positionV relativeFrom="paragraph">
                <wp:posOffset>619633</wp:posOffset>
              </wp:positionV>
              <wp:extent cx="381000" cy="3742246"/>
              <wp:effectExtent l="0" t="0" r="0" b="0"/>
              <wp:wrapNone/>
              <wp:docPr id="51" name="Поле 51"/>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EC4480" w14:textId="77777777" w:rsidR="0024227F" w:rsidRPr="002B302D" w:rsidRDefault="0024227F">
                          <w:pPr>
                            <w:rPr>
                              <w:rFonts w:ascii="Times New Roman" w:hAnsi="Times New Roman" w:cs="Times New Roman"/>
                              <w:color w:val="0C0000"/>
                              <w:sz w:val="14"/>
                            </w:rPr>
                          </w:pPr>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2ED6D4" id="_x0000_t202" coordsize="21600,21600" o:spt="202" path="m,l,21600r21600,l21600,xe">
              <v:stroke joinstyle="miter"/>
              <v:path gradientshapeok="t" o:connecttype="rect"/>
            </v:shapetype>
            <v:shape id="Поле 51" o:spid="_x0000_s1045" type="#_x0000_t202" style="position:absolute;margin-left:480.25pt;margin-top:48.8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" filled="f" stroked="f" strokeweight=".5pt">
              <v:textbox style="layout-flow:vertical;mso-layout-flow-alt:bottom-to-top">
                <w:txbxContent>
                  <w:p w14:paraId="57EC4480" w14:textId="77777777" w:rsidR="0024227F" w:rsidRPr="002B302D" w:rsidRDefault="0024227F">
                    <w:pPr>
                      <w:rPr>
                        <w:rFonts w:ascii="Times New Roman" w:hAnsi="Times New Roman" w:cs="Times New Roman"/>
                        <w:color w:val="0C0000"/>
                        <w:sz w:val="14"/>
                      </w:rPr>
                    </w:pPr>
                    <w:r>
                      <w:rPr>
                        <w:rFonts w:ascii="Times New Roman" w:hAnsi="Times New Roman" w:cs="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7669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C87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EF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C867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C6BA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E09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4EE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5ADE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C23A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8412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F29D6"/>
    <w:multiLevelType w:val="hybridMultilevel"/>
    <w:tmpl w:val="478AD166"/>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227F4F"/>
    <w:multiLevelType w:val="hybridMultilevel"/>
    <w:tmpl w:val="BF2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E4BE4"/>
    <w:multiLevelType w:val="hybridMultilevel"/>
    <w:tmpl w:val="429CE0CC"/>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866660"/>
    <w:multiLevelType w:val="hybridMultilevel"/>
    <w:tmpl w:val="92C65AC2"/>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1C"/>
    <w:rsid w:val="000001C2"/>
    <w:rsid w:val="0000040E"/>
    <w:rsid w:val="00000631"/>
    <w:rsid w:val="0000097C"/>
    <w:rsid w:val="000015AC"/>
    <w:rsid w:val="00001FD3"/>
    <w:rsid w:val="00002239"/>
    <w:rsid w:val="0000224E"/>
    <w:rsid w:val="00002BCC"/>
    <w:rsid w:val="000039CD"/>
    <w:rsid w:val="00004156"/>
    <w:rsid w:val="00004822"/>
    <w:rsid w:val="00004EF9"/>
    <w:rsid w:val="00005CEF"/>
    <w:rsid w:val="00006257"/>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205"/>
    <w:rsid w:val="000205FD"/>
    <w:rsid w:val="000213AF"/>
    <w:rsid w:val="00021505"/>
    <w:rsid w:val="000228F0"/>
    <w:rsid w:val="00022DBA"/>
    <w:rsid w:val="00023559"/>
    <w:rsid w:val="00023C02"/>
    <w:rsid w:val="000242BD"/>
    <w:rsid w:val="0002495D"/>
    <w:rsid w:val="0002526A"/>
    <w:rsid w:val="00025512"/>
    <w:rsid w:val="00025678"/>
    <w:rsid w:val="00025D31"/>
    <w:rsid w:val="00030D37"/>
    <w:rsid w:val="00032837"/>
    <w:rsid w:val="00032B74"/>
    <w:rsid w:val="000334B0"/>
    <w:rsid w:val="000334C0"/>
    <w:rsid w:val="00033C50"/>
    <w:rsid w:val="0003407C"/>
    <w:rsid w:val="00034599"/>
    <w:rsid w:val="00034913"/>
    <w:rsid w:val="0003542B"/>
    <w:rsid w:val="000354D6"/>
    <w:rsid w:val="000364D2"/>
    <w:rsid w:val="00036BC4"/>
    <w:rsid w:val="00037258"/>
    <w:rsid w:val="00037B63"/>
    <w:rsid w:val="000402D6"/>
    <w:rsid w:val="00041490"/>
    <w:rsid w:val="00041DBE"/>
    <w:rsid w:val="00041E26"/>
    <w:rsid w:val="00042B88"/>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57610"/>
    <w:rsid w:val="00060217"/>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A01"/>
    <w:rsid w:val="00075AA8"/>
    <w:rsid w:val="00075B90"/>
    <w:rsid w:val="000763CD"/>
    <w:rsid w:val="000769DF"/>
    <w:rsid w:val="00076F4E"/>
    <w:rsid w:val="0007752C"/>
    <w:rsid w:val="000775F3"/>
    <w:rsid w:val="00077E81"/>
    <w:rsid w:val="00080402"/>
    <w:rsid w:val="00080D44"/>
    <w:rsid w:val="0008109C"/>
    <w:rsid w:val="000816BD"/>
    <w:rsid w:val="00082AB4"/>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34"/>
    <w:rsid w:val="000A529B"/>
    <w:rsid w:val="000A543E"/>
    <w:rsid w:val="000A561F"/>
    <w:rsid w:val="000A61DA"/>
    <w:rsid w:val="000A6270"/>
    <w:rsid w:val="000A661F"/>
    <w:rsid w:val="000A69CB"/>
    <w:rsid w:val="000B076A"/>
    <w:rsid w:val="000B0B19"/>
    <w:rsid w:val="000B0D2D"/>
    <w:rsid w:val="000B201B"/>
    <w:rsid w:val="000B231E"/>
    <w:rsid w:val="000B2DF6"/>
    <w:rsid w:val="000B4106"/>
    <w:rsid w:val="000B4BFA"/>
    <w:rsid w:val="000B4FF4"/>
    <w:rsid w:val="000B56E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1BF9"/>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19A"/>
    <w:rsid w:val="000F56BC"/>
    <w:rsid w:val="000F5B3A"/>
    <w:rsid w:val="000F5E26"/>
    <w:rsid w:val="000F6167"/>
    <w:rsid w:val="000F636B"/>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1ED8"/>
    <w:rsid w:val="0012201D"/>
    <w:rsid w:val="00122DB3"/>
    <w:rsid w:val="0012392B"/>
    <w:rsid w:val="00123A36"/>
    <w:rsid w:val="00124233"/>
    <w:rsid w:val="0012438C"/>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7460"/>
    <w:rsid w:val="00167591"/>
    <w:rsid w:val="00170789"/>
    <w:rsid w:val="00171069"/>
    <w:rsid w:val="00171F70"/>
    <w:rsid w:val="00173183"/>
    <w:rsid w:val="001751FA"/>
    <w:rsid w:val="001758EE"/>
    <w:rsid w:val="001760AF"/>
    <w:rsid w:val="001760E2"/>
    <w:rsid w:val="00176315"/>
    <w:rsid w:val="00176A92"/>
    <w:rsid w:val="00176ECF"/>
    <w:rsid w:val="0017709C"/>
    <w:rsid w:val="001778D4"/>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9053A"/>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4336"/>
    <w:rsid w:val="001952AA"/>
    <w:rsid w:val="00195C84"/>
    <w:rsid w:val="00195D95"/>
    <w:rsid w:val="001970EC"/>
    <w:rsid w:val="001977BF"/>
    <w:rsid w:val="00197856"/>
    <w:rsid w:val="00197A5D"/>
    <w:rsid w:val="001A03C8"/>
    <w:rsid w:val="001A0814"/>
    <w:rsid w:val="001A0AC8"/>
    <w:rsid w:val="001A187F"/>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747"/>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725C"/>
    <w:rsid w:val="001C736F"/>
    <w:rsid w:val="001C7D67"/>
    <w:rsid w:val="001D0BFD"/>
    <w:rsid w:val="001D0C53"/>
    <w:rsid w:val="001D0E9A"/>
    <w:rsid w:val="001D141C"/>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3B13"/>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5844"/>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A9"/>
    <w:rsid w:val="002062E9"/>
    <w:rsid w:val="00206D6C"/>
    <w:rsid w:val="002072BA"/>
    <w:rsid w:val="002074A8"/>
    <w:rsid w:val="0020780A"/>
    <w:rsid w:val="00207938"/>
    <w:rsid w:val="00207FF5"/>
    <w:rsid w:val="00210BA5"/>
    <w:rsid w:val="002114E8"/>
    <w:rsid w:val="00211ABF"/>
    <w:rsid w:val="0021246A"/>
    <w:rsid w:val="00213061"/>
    <w:rsid w:val="0021419B"/>
    <w:rsid w:val="0021430E"/>
    <w:rsid w:val="00214E58"/>
    <w:rsid w:val="0021523A"/>
    <w:rsid w:val="00215EAC"/>
    <w:rsid w:val="00216090"/>
    <w:rsid w:val="00216195"/>
    <w:rsid w:val="00216732"/>
    <w:rsid w:val="00216923"/>
    <w:rsid w:val="0021707A"/>
    <w:rsid w:val="00217956"/>
    <w:rsid w:val="00217CD1"/>
    <w:rsid w:val="00217DFB"/>
    <w:rsid w:val="0022059F"/>
    <w:rsid w:val="002209C0"/>
    <w:rsid w:val="0022123A"/>
    <w:rsid w:val="002213C9"/>
    <w:rsid w:val="002216C7"/>
    <w:rsid w:val="00221B04"/>
    <w:rsid w:val="0022233E"/>
    <w:rsid w:val="0022304E"/>
    <w:rsid w:val="00223367"/>
    <w:rsid w:val="002237DD"/>
    <w:rsid w:val="00223C45"/>
    <w:rsid w:val="00223F8A"/>
    <w:rsid w:val="00224781"/>
    <w:rsid w:val="00224D19"/>
    <w:rsid w:val="00225BAD"/>
    <w:rsid w:val="00226874"/>
    <w:rsid w:val="00226D8F"/>
    <w:rsid w:val="00226DA9"/>
    <w:rsid w:val="0022764A"/>
    <w:rsid w:val="0023011B"/>
    <w:rsid w:val="00230327"/>
    <w:rsid w:val="0023040E"/>
    <w:rsid w:val="0023076B"/>
    <w:rsid w:val="00232EA3"/>
    <w:rsid w:val="00232FD5"/>
    <w:rsid w:val="00233A26"/>
    <w:rsid w:val="002344AA"/>
    <w:rsid w:val="00234854"/>
    <w:rsid w:val="002349FF"/>
    <w:rsid w:val="0023514B"/>
    <w:rsid w:val="00235195"/>
    <w:rsid w:val="00235711"/>
    <w:rsid w:val="00236277"/>
    <w:rsid w:val="00236526"/>
    <w:rsid w:val="0023682A"/>
    <w:rsid w:val="00236EB3"/>
    <w:rsid w:val="00236ED3"/>
    <w:rsid w:val="002370B6"/>
    <w:rsid w:val="00237CCA"/>
    <w:rsid w:val="00240C7C"/>
    <w:rsid w:val="0024120A"/>
    <w:rsid w:val="002415A2"/>
    <w:rsid w:val="00241672"/>
    <w:rsid w:val="0024171D"/>
    <w:rsid w:val="00241B20"/>
    <w:rsid w:val="00241CCA"/>
    <w:rsid w:val="0024227F"/>
    <w:rsid w:val="0024290C"/>
    <w:rsid w:val="00242C79"/>
    <w:rsid w:val="00242E1C"/>
    <w:rsid w:val="00243545"/>
    <w:rsid w:val="002446C2"/>
    <w:rsid w:val="002449D3"/>
    <w:rsid w:val="002450B1"/>
    <w:rsid w:val="00245E0B"/>
    <w:rsid w:val="00246B3A"/>
    <w:rsid w:val="00247CF4"/>
    <w:rsid w:val="00251B29"/>
    <w:rsid w:val="00251D02"/>
    <w:rsid w:val="00252117"/>
    <w:rsid w:val="002525E5"/>
    <w:rsid w:val="00253199"/>
    <w:rsid w:val="00254A6E"/>
    <w:rsid w:val="00254B40"/>
    <w:rsid w:val="002553F7"/>
    <w:rsid w:val="00255BBB"/>
    <w:rsid w:val="00255E4B"/>
    <w:rsid w:val="00256699"/>
    <w:rsid w:val="0025704C"/>
    <w:rsid w:val="00257401"/>
    <w:rsid w:val="0025786C"/>
    <w:rsid w:val="00257C07"/>
    <w:rsid w:val="002605D9"/>
    <w:rsid w:val="002606D5"/>
    <w:rsid w:val="002607F6"/>
    <w:rsid w:val="00261570"/>
    <w:rsid w:val="00261CC4"/>
    <w:rsid w:val="0026228A"/>
    <w:rsid w:val="002622B9"/>
    <w:rsid w:val="00262BDD"/>
    <w:rsid w:val="002631E2"/>
    <w:rsid w:val="002634DA"/>
    <w:rsid w:val="00263C25"/>
    <w:rsid w:val="00264BD0"/>
    <w:rsid w:val="00265177"/>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4B"/>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900C5"/>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D9"/>
    <w:rsid w:val="002A3B4E"/>
    <w:rsid w:val="002A44DB"/>
    <w:rsid w:val="002A5B2A"/>
    <w:rsid w:val="002A5BCE"/>
    <w:rsid w:val="002A7645"/>
    <w:rsid w:val="002A767F"/>
    <w:rsid w:val="002B0381"/>
    <w:rsid w:val="002B0BA9"/>
    <w:rsid w:val="002B0E23"/>
    <w:rsid w:val="002B13B9"/>
    <w:rsid w:val="002B16BC"/>
    <w:rsid w:val="002B25B5"/>
    <w:rsid w:val="002B2EDB"/>
    <w:rsid w:val="002B302D"/>
    <w:rsid w:val="002B375C"/>
    <w:rsid w:val="002B3930"/>
    <w:rsid w:val="002B3AA1"/>
    <w:rsid w:val="002B3B82"/>
    <w:rsid w:val="002B3C2E"/>
    <w:rsid w:val="002B4743"/>
    <w:rsid w:val="002B530F"/>
    <w:rsid w:val="002B5329"/>
    <w:rsid w:val="002B55D3"/>
    <w:rsid w:val="002B6911"/>
    <w:rsid w:val="002B730D"/>
    <w:rsid w:val="002C0ECE"/>
    <w:rsid w:val="002C0EDB"/>
    <w:rsid w:val="002C18D2"/>
    <w:rsid w:val="002C2868"/>
    <w:rsid w:val="002C2935"/>
    <w:rsid w:val="002C2A71"/>
    <w:rsid w:val="002C3E18"/>
    <w:rsid w:val="002C4919"/>
    <w:rsid w:val="002C50C4"/>
    <w:rsid w:val="002C53AF"/>
    <w:rsid w:val="002C57FD"/>
    <w:rsid w:val="002C677F"/>
    <w:rsid w:val="002C69B1"/>
    <w:rsid w:val="002D052B"/>
    <w:rsid w:val="002D1BC4"/>
    <w:rsid w:val="002D200F"/>
    <w:rsid w:val="002D272A"/>
    <w:rsid w:val="002D2F7D"/>
    <w:rsid w:val="002D32C4"/>
    <w:rsid w:val="002D3487"/>
    <w:rsid w:val="002D3CCA"/>
    <w:rsid w:val="002D3DA5"/>
    <w:rsid w:val="002D4497"/>
    <w:rsid w:val="002D4D49"/>
    <w:rsid w:val="002D4FE0"/>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42E8"/>
    <w:rsid w:val="002F4F40"/>
    <w:rsid w:val="002F51B7"/>
    <w:rsid w:val="002F5453"/>
    <w:rsid w:val="002F5C86"/>
    <w:rsid w:val="002F63AE"/>
    <w:rsid w:val="002F643F"/>
    <w:rsid w:val="002F739D"/>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63A"/>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27FF6"/>
    <w:rsid w:val="00330A86"/>
    <w:rsid w:val="00330C5F"/>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3DF8"/>
    <w:rsid w:val="003443E0"/>
    <w:rsid w:val="00344EF6"/>
    <w:rsid w:val="0034549A"/>
    <w:rsid w:val="00345E13"/>
    <w:rsid w:val="00347447"/>
    <w:rsid w:val="00347A60"/>
    <w:rsid w:val="00347D69"/>
    <w:rsid w:val="003502AE"/>
    <w:rsid w:val="00350DBD"/>
    <w:rsid w:val="00351415"/>
    <w:rsid w:val="003515CF"/>
    <w:rsid w:val="0035222A"/>
    <w:rsid w:val="00352656"/>
    <w:rsid w:val="003529F1"/>
    <w:rsid w:val="00352AB3"/>
    <w:rsid w:val="00352FC2"/>
    <w:rsid w:val="00352FED"/>
    <w:rsid w:val="00353282"/>
    <w:rsid w:val="00354F1B"/>
    <w:rsid w:val="0035515B"/>
    <w:rsid w:val="00355B4F"/>
    <w:rsid w:val="0035625D"/>
    <w:rsid w:val="00356AFB"/>
    <w:rsid w:val="00356D51"/>
    <w:rsid w:val="00356F4D"/>
    <w:rsid w:val="003571C6"/>
    <w:rsid w:val="00357A5C"/>
    <w:rsid w:val="00357E02"/>
    <w:rsid w:val="003608C6"/>
    <w:rsid w:val="00360B40"/>
    <w:rsid w:val="0036111A"/>
    <w:rsid w:val="003612AD"/>
    <w:rsid w:val="003619E9"/>
    <w:rsid w:val="00362B38"/>
    <w:rsid w:val="00363221"/>
    <w:rsid w:val="003634C7"/>
    <w:rsid w:val="003634EF"/>
    <w:rsid w:val="003635D9"/>
    <w:rsid w:val="0036403A"/>
    <w:rsid w:val="00364D97"/>
    <w:rsid w:val="0036715A"/>
    <w:rsid w:val="003671EF"/>
    <w:rsid w:val="00370967"/>
    <w:rsid w:val="00370D84"/>
    <w:rsid w:val="0037165F"/>
    <w:rsid w:val="003717FC"/>
    <w:rsid w:val="00371FAA"/>
    <w:rsid w:val="00372112"/>
    <w:rsid w:val="003726C2"/>
    <w:rsid w:val="00372A1C"/>
    <w:rsid w:val="00372A34"/>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1F34"/>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5404"/>
    <w:rsid w:val="00396DED"/>
    <w:rsid w:val="003970D2"/>
    <w:rsid w:val="00397120"/>
    <w:rsid w:val="0039781B"/>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BFB"/>
    <w:rsid w:val="003B7D20"/>
    <w:rsid w:val="003B7E47"/>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268"/>
    <w:rsid w:val="00402E5A"/>
    <w:rsid w:val="004032FB"/>
    <w:rsid w:val="00403E27"/>
    <w:rsid w:val="00404197"/>
    <w:rsid w:val="00404276"/>
    <w:rsid w:val="00404677"/>
    <w:rsid w:val="0040489C"/>
    <w:rsid w:val="0040589C"/>
    <w:rsid w:val="004064B2"/>
    <w:rsid w:val="00406770"/>
    <w:rsid w:val="00407EB7"/>
    <w:rsid w:val="0041014F"/>
    <w:rsid w:val="004102BE"/>
    <w:rsid w:val="004115FD"/>
    <w:rsid w:val="00412248"/>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147"/>
    <w:rsid w:val="004221C4"/>
    <w:rsid w:val="0042238B"/>
    <w:rsid w:val="00423574"/>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7E4"/>
    <w:rsid w:val="00442CA0"/>
    <w:rsid w:val="004431CB"/>
    <w:rsid w:val="004436F4"/>
    <w:rsid w:val="00443A12"/>
    <w:rsid w:val="00444E7F"/>
    <w:rsid w:val="004456F3"/>
    <w:rsid w:val="00445A33"/>
    <w:rsid w:val="004464B5"/>
    <w:rsid w:val="00446E7D"/>
    <w:rsid w:val="00447722"/>
    <w:rsid w:val="00447CD0"/>
    <w:rsid w:val="00451746"/>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096C"/>
    <w:rsid w:val="00461F0E"/>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7DA"/>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01C2"/>
    <w:rsid w:val="004A15DC"/>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58BF"/>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B47"/>
    <w:rsid w:val="004E5592"/>
    <w:rsid w:val="004E60EE"/>
    <w:rsid w:val="004E6D3D"/>
    <w:rsid w:val="004E71F2"/>
    <w:rsid w:val="004E7E34"/>
    <w:rsid w:val="004F01AF"/>
    <w:rsid w:val="004F1CFD"/>
    <w:rsid w:val="004F1E92"/>
    <w:rsid w:val="004F22B3"/>
    <w:rsid w:val="004F246C"/>
    <w:rsid w:val="004F2C8C"/>
    <w:rsid w:val="004F3965"/>
    <w:rsid w:val="004F440E"/>
    <w:rsid w:val="004F5068"/>
    <w:rsid w:val="004F6430"/>
    <w:rsid w:val="004F6E7F"/>
    <w:rsid w:val="004F7447"/>
    <w:rsid w:val="00500D9E"/>
    <w:rsid w:val="00501BD4"/>
    <w:rsid w:val="00501CC8"/>
    <w:rsid w:val="00503D5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54E"/>
    <w:rsid w:val="005168F6"/>
    <w:rsid w:val="00516DD9"/>
    <w:rsid w:val="0051712C"/>
    <w:rsid w:val="005174F6"/>
    <w:rsid w:val="005177FF"/>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2DA"/>
    <w:rsid w:val="005726BC"/>
    <w:rsid w:val="00572CE1"/>
    <w:rsid w:val="00572FA4"/>
    <w:rsid w:val="00573B98"/>
    <w:rsid w:val="00574752"/>
    <w:rsid w:val="00574A0C"/>
    <w:rsid w:val="0057514D"/>
    <w:rsid w:val="005757F7"/>
    <w:rsid w:val="005759C9"/>
    <w:rsid w:val="00575B01"/>
    <w:rsid w:val="00575BE5"/>
    <w:rsid w:val="00575E0A"/>
    <w:rsid w:val="00576AAC"/>
    <w:rsid w:val="00576D10"/>
    <w:rsid w:val="0057731A"/>
    <w:rsid w:val="00577B5E"/>
    <w:rsid w:val="005805E1"/>
    <w:rsid w:val="00580672"/>
    <w:rsid w:val="0058194D"/>
    <w:rsid w:val="0058278A"/>
    <w:rsid w:val="005836F5"/>
    <w:rsid w:val="0058379C"/>
    <w:rsid w:val="00583FA7"/>
    <w:rsid w:val="005846A4"/>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331D"/>
    <w:rsid w:val="005A37D3"/>
    <w:rsid w:val="005A4563"/>
    <w:rsid w:val="005A49F0"/>
    <w:rsid w:val="005A50D7"/>
    <w:rsid w:val="005A53ED"/>
    <w:rsid w:val="005A6A25"/>
    <w:rsid w:val="005A6B37"/>
    <w:rsid w:val="005A6C3E"/>
    <w:rsid w:val="005A7C83"/>
    <w:rsid w:val="005B0A20"/>
    <w:rsid w:val="005B349D"/>
    <w:rsid w:val="005B3F10"/>
    <w:rsid w:val="005B4370"/>
    <w:rsid w:val="005B4535"/>
    <w:rsid w:val="005B4D12"/>
    <w:rsid w:val="005B4EF5"/>
    <w:rsid w:val="005B555E"/>
    <w:rsid w:val="005B594F"/>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22"/>
    <w:rsid w:val="005C494E"/>
    <w:rsid w:val="005C4A9B"/>
    <w:rsid w:val="005C4B84"/>
    <w:rsid w:val="005C5392"/>
    <w:rsid w:val="005C5FC6"/>
    <w:rsid w:val="005C61F2"/>
    <w:rsid w:val="005C68B2"/>
    <w:rsid w:val="005C7472"/>
    <w:rsid w:val="005C7562"/>
    <w:rsid w:val="005C7BDC"/>
    <w:rsid w:val="005C7E29"/>
    <w:rsid w:val="005D05BA"/>
    <w:rsid w:val="005D0B9C"/>
    <w:rsid w:val="005D1369"/>
    <w:rsid w:val="005D15DC"/>
    <w:rsid w:val="005D1F23"/>
    <w:rsid w:val="005D213C"/>
    <w:rsid w:val="005D39C8"/>
    <w:rsid w:val="005D4A41"/>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2EB"/>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44F7"/>
    <w:rsid w:val="006847E1"/>
    <w:rsid w:val="0068480B"/>
    <w:rsid w:val="00685FCF"/>
    <w:rsid w:val="006864D2"/>
    <w:rsid w:val="00686B13"/>
    <w:rsid w:val="00686BEB"/>
    <w:rsid w:val="00686E7D"/>
    <w:rsid w:val="00686EBA"/>
    <w:rsid w:val="00686ED4"/>
    <w:rsid w:val="00686F78"/>
    <w:rsid w:val="00687223"/>
    <w:rsid w:val="00690CCF"/>
    <w:rsid w:val="00690F49"/>
    <w:rsid w:val="00691E88"/>
    <w:rsid w:val="0069216E"/>
    <w:rsid w:val="00692691"/>
    <w:rsid w:val="00692725"/>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1AD"/>
    <w:rsid w:val="006E1194"/>
    <w:rsid w:val="006E1A2B"/>
    <w:rsid w:val="006E2146"/>
    <w:rsid w:val="006E2618"/>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6F5E77"/>
    <w:rsid w:val="00700E1E"/>
    <w:rsid w:val="0070126F"/>
    <w:rsid w:val="00701A32"/>
    <w:rsid w:val="00701F75"/>
    <w:rsid w:val="007029D7"/>
    <w:rsid w:val="00702DD7"/>
    <w:rsid w:val="00703964"/>
    <w:rsid w:val="007039ED"/>
    <w:rsid w:val="00703F48"/>
    <w:rsid w:val="0070448C"/>
    <w:rsid w:val="00706B10"/>
    <w:rsid w:val="0070768D"/>
    <w:rsid w:val="007077FE"/>
    <w:rsid w:val="00707C00"/>
    <w:rsid w:val="0071003E"/>
    <w:rsid w:val="007100EA"/>
    <w:rsid w:val="0071025C"/>
    <w:rsid w:val="00710A7B"/>
    <w:rsid w:val="00710B6D"/>
    <w:rsid w:val="00710E21"/>
    <w:rsid w:val="00711CC0"/>
    <w:rsid w:val="00711E17"/>
    <w:rsid w:val="0071259F"/>
    <w:rsid w:val="007139AC"/>
    <w:rsid w:val="00714245"/>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A66"/>
    <w:rsid w:val="00742B4A"/>
    <w:rsid w:val="00742C30"/>
    <w:rsid w:val="00743034"/>
    <w:rsid w:val="00743320"/>
    <w:rsid w:val="0074440F"/>
    <w:rsid w:val="007448BA"/>
    <w:rsid w:val="00744AC4"/>
    <w:rsid w:val="00745D22"/>
    <w:rsid w:val="0074688A"/>
    <w:rsid w:val="00746B07"/>
    <w:rsid w:val="00746CD5"/>
    <w:rsid w:val="00750EA8"/>
    <w:rsid w:val="0075272B"/>
    <w:rsid w:val="00753467"/>
    <w:rsid w:val="007538B0"/>
    <w:rsid w:val="00753BA1"/>
    <w:rsid w:val="00753EE7"/>
    <w:rsid w:val="00753EE8"/>
    <w:rsid w:val="007561BA"/>
    <w:rsid w:val="00756590"/>
    <w:rsid w:val="007566D8"/>
    <w:rsid w:val="00757245"/>
    <w:rsid w:val="00757764"/>
    <w:rsid w:val="0075797F"/>
    <w:rsid w:val="00757992"/>
    <w:rsid w:val="007610DE"/>
    <w:rsid w:val="007610FB"/>
    <w:rsid w:val="00761365"/>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19D8"/>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4381"/>
    <w:rsid w:val="0079444A"/>
    <w:rsid w:val="00796E4D"/>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0996"/>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6E2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2E34"/>
    <w:rsid w:val="007E32DD"/>
    <w:rsid w:val="007E33A2"/>
    <w:rsid w:val="007E34B6"/>
    <w:rsid w:val="007E39B1"/>
    <w:rsid w:val="007E4024"/>
    <w:rsid w:val="007E50F2"/>
    <w:rsid w:val="007E56C6"/>
    <w:rsid w:val="007E5D52"/>
    <w:rsid w:val="007E5DD7"/>
    <w:rsid w:val="007E7E80"/>
    <w:rsid w:val="007E7FC7"/>
    <w:rsid w:val="007F07D9"/>
    <w:rsid w:val="007F0EA3"/>
    <w:rsid w:val="007F19E8"/>
    <w:rsid w:val="007F1A32"/>
    <w:rsid w:val="007F1CFD"/>
    <w:rsid w:val="007F1D8C"/>
    <w:rsid w:val="007F2679"/>
    <w:rsid w:val="007F37BC"/>
    <w:rsid w:val="007F3DFF"/>
    <w:rsid w:val="007F44F2"/>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0A0"/>
    <w:rsid w:val="00813955"/>
    <w:rsid w:val="00813E1A"/>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48FB"/>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647"/>
    <w:rsid w:val="00846C12"/>
    <w:rsid w:val="00847F96"/>
    <w:rsid w:val="00850D41"/>
    <w:rsid w:val="00850F3B"/>
    <w:rsid w:val="008513B4"/>
    <w:rsid w:val="008517D5"/>
    <w:rsid w:val="00852387"/>
    <w:rsid w:val="00852BDB"/>
    <w:rsid w:val="008536F7"/>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192"/>
    <w:rsid w:val="0086730E"/>
    <w:rsid w:val="00867BBA"/>
    <w:rsid w:val="008702B5"/>
    <w:rsid w:val="00870504"/>
    <w:rsid w:val="00871773"/>
    <w:rsid w:val="00871EC7"/>
    <w:rsid w:val="00873072"/>
    <w:rsid w:val="00873A7A"/>
    <w:rsid w:val="00874DAC"/>
    <w:rsid w:val="00875412"/>
    <w:rsid w:val="0087542F"/>
    <w:rsid w:val="0087568B"/>
    <w:rsid w:val="008769E6"/>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9D2"/>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30571"/>
    <w:rsid w:val="00930803"/>
    <w:rsid w:val="00930B10"/>
    <w:rsid w:val="00930E94"/>
    <w:rsid w:val="009318DF"/>
    <w:rsid w:val="00931E05"/>
    <w:rsid w:val="00932677"/>
    <w:rsid w:val="00932A2F"/>
    <w:rsid w:val="00932DD0"/>
    <w:rsid w:val="00933176"/>
    <w:rsid w:val="009331DF"/>
    <w:rsid w:val="00933510"/>
    <w:rsid w:val="00933FE2"/>
    <w:rsid w:val="0093408F"/>
    <w:rsid w:val="00934669"/>
    <w:rsid w:val="00934710"/>
    <w:rsid w:val="0093488C"/>
    <w:rsid w:val="00934C73"/>
    <w:rsid w:val="00934E33"/>
    <w:rsid w:val="009358CA"/>
    <w:rsid w:val="0093670A"/>
    <w:rsid w:val="00936FDF"/>
    <w:rsid w:val="009413D6"/>
    <w:rsid w:val="00941529"/>
    <w:rsid w:val="009418E3"/>
    <w:rsid w:val="009425F7"/>
    <w:rsid w:val="00942AB3"/>
    <w:rsid w:val="00942FEE"/>
    <w:rsid w:val="009432D9"/>
    <w:rsid w:val="0094349C"/>
    <w:rsid w:val="009438CB"/>
    <w:rsid w:val="00943BA6"/>
    <w:rsid w:val="00943EAF"/>
    <w:rsid w:val="0094464C"/>
    <w:rsid w:val="00945D1B"/>
    <w:rsid w:val="00946BF1"/>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59D4"/>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566B"/>
    <w:rsid w:val="0096655F"/>
    <w:rsid w:val="00966A73"/>
    <w:rsid w:val="00966E62"/>
    <w:rsid w:val="009673A7"/>
    <w:rsid w:val="009677AD"/>
    <w:rsid w:val="00967AF6"/>
    <w:rsid w:val="00967C7A"/>
    <w:rsid w:val="009700C6"/>
    <w:rsid w:val="0097044E"/>
    <w:rsid w:val="00970FA1"/>
    <w:rsid w:val="00971172"/>
    <w:rsid w:val="0097196F"/>
    <w:rsid w:val="00972114"/>
    <w:rsid w:val="00972D82"/>
    <w:rsid w:val="00972FB1"/>
    <w:rsid w:val="00973385"/>
    <w:rsid w:val="009741B7"/>
    <w:rsid w:val="0097435F"/>
    <w:rsid w:val="009743BA"/>
    <w:rsid w:val="00974430"/>
    <w:rsid w:val="009749F8"/>
    <w:rsid w:val="00974C94"/>
    <w:rsid w:val="009753E2"/>
    <w:rsid w:val="009759D1"/>
    <w:rsid w:val="0097666C"/>
    <w:rsid w:val="009768B4"/>
    <w:rsid w:val="009774AF"/>
    <w:rsid w:val="009776BC"/>
    <w:rsid w:val="00977A6D"/>
    <w:rsid w:val="00977A7E"/>
    <w:rsid w:val="00977F35"/>
    <w:rsid w:val="009801B6"/>
    <w:rsid w:val="0098090C"/>
    <w:rsid w:val="009814D3"/>
    <w:rsid w:val="0098220C"/>
    <w:rsid w:val="009822B6"/>
    <w:rsid w:val="00982E0E"/>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1E9"/>
    <w:rsid w:val="0099031F"/>
    <w:rsid w:val="00990626"/>
    <w:rsid w:val="00991A8B"/>
    <w:rsid w:val="00991EB0"/>
    <w:rsid w:val="00992271"/>
    <w:rsid w:val="00992E48"/>
    <w:rsid w:val="00992F2A"/>
    <w:rsid w:val="009934F6"/>
    <w:rsid w:val="00993B8B"/>
    <w:rsid w:val="00993F8C"/>
    <w:rsid w:val="00994206"/>
    <w:rsid w:val="009943D0"/>
    <w:rsid w:val="00994550"/>
    <w:rsid w:val="009951B6"/>
    <w:rsid w:val="009953AF"/>
    <w:rsid w:val="00995678"/>
    <w:rsid w:val="009956E6"/>
    <w:rsid w:val="00995CDD"/>
    <w:rsid w:val="009973B0"/>
    <w:rsid w:val="00997FE0"/>
    <w:rsid w:val="009A038E"/>
    <w:rsid w:val="009A042E"/>
    <w:rsid w:val="009A1539"/>
    <w:rsid w:val="009A15C0"/>
    <w:rsid w:val="009A162C"/>
    <w:rsid w:val="009A1ACF"/>
    <w:rsid w:val="009A2D82"/>
    <w:rsid w:val="009A3420"/>
    <w:rsid w:val="009A3A3A"/>
    <w:rsid w:val="009A46CC"/>
    <w:rsid w:val="009A5110"/>
    <w:rsid w:val="009A52DA"/>
    <w:rsid w:val="009A5717"/>
    <w:rsid w:val="009A58C1"/>
    <w:rsid w:val="009A5ADC"/>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0DE"/>
    <w:rsid w:val="009B5F61"/>
    <w:rsid w:val="009B646E"/>
    <w:rsid w:val="009B68B5"/>
    <w:rsid w:val="009B6D39"/>
    <w:rsid w:val="009C016C"/>
    <w:rsid w:val="009C030D"/>
    <w:rsid w:val="009C0B06"/>
    <w:rsid w:val="009C0C0E"/>
    <w:rsid w:val="009C0EB8"/>
    <w:rsid w:val="009C10F4"/>
    <w:rsid w:val="009C120D"/>
    <w:rsid w:val="009C1659"/>
    <w:rsid w:val="009C166C"/>
    <w:rsid w:val="009C1A47"/>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2504"/>
    <w:rsid w:val="009D2CEB"/>
    <w:rsid w:val="009D319D"/>
    <w:rsid w:val="009D3258"/>
    <w:rsid w:val="009D35DE"/>
    <w:rsid w:val="009D3D15"/>
    <w:rsid w:val="009D523A"/>
    <w:rsid w:val="009D6A19"/>
    <w:rsid w:val="009D6CEC"/>
    <w:rsid w:val="009D6DA0"/>
    <w:rsid w:val="009D6F39"/>
    <w:rsid w:val="009D7273"/>
    <w:rsid w:val="009D7692"/>
    <w:rsid w:val="009D7DD5"/>
    <w:rsid w:val="009E00FB"/>
    <w:rsid w:val="009E0126"/>
    <w:rsid w:val="009E13BA"/>
    <w:rsid w:val="009E1613"/>
    <w:rsid w:val="009E1899"/>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065"/>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295C"/>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4DA"/>
    <w:rsid w:val="00A25533"/>
    <w:rsid w:val="00A25741"/>
    <w:rsid w:val="00A25A4F"/>
    <w:rsid w:val="00A25DD5"/>
    <w:rsid w:val="00A26B93"/>
    <w:rsid w:val="00A2752D"/>
    <w:rsid w:val="00A318E9"/>
    <w:rsid w:val="00A31EFA"/>
    <w:rsid w:val="00A324D8"/>
    <w:rsid w:val="00A333D3"/>
    <w:rsid w:val="00A336FF"/>
    <w:rsid w:val="00A33D3C"/>
    <w:rsid w:val="00A33D9B"/>
    <w:rsid w:val="00A34E70"/>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472D2"/>
    <w:rsid w:val="00A5036A"/>
    <w:rsid w:val="00A505BA"/>
    <w:rsid w:val="00A50EBD"/>
    <w:rsid w:val="00A50F8C"/>
    <w:rsid w:val="00A51228"/>
    <w:rsid w:val="00A51CF7"/>
    <w:rsid w:val="00A52FE4"/>
    <w:rsid w:val="00A53253"/>
    <w:rsid w:val="00A53350"/>
    <w:rsid w:val="00A53DD3"/>
    <w:rsid w:val="00A5409C"/>
    <w:rsid w:val="00A542BD"/>
    <w:rsid w:val="00A5442C"/>
    <w:rsid w:val="00A54751"/>
    <w:rsid w:val="00A54D74"/>
    <w:rsid w:val="00A5550B"/>
    <w:rsid w:val="00A5562F"/>
    <w:rsid w:val="00A55737"/>
    <w:rsid w:val="00A55CC7"/>
    <w:rsid w:val="00A55DDB"/>
    <w:rsid w:val="00A55DDD"/>
    <w:rsid w:val="00A56553"/>
    <w:rsid w:val="00A569DD"/>
    <w:rsid w:val="00A56F8F"/>
    <w:rsid w:val="00A579EC"/>
    <w:rsid w:val="00A57F8D"/>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A1D"/>
    <w:rsid w:val="00A7142B"/>
    <w:rsid w:val="00A72229"/>
    <w:rsid w:val="00A722B0"/>
    <w:rsid w:val="00A72FC9"/>
    <w:rsid w:val="00A73146"/>
    <w:rsid w:val="00A73BC3"/>
    <w:rsid w:val="00A73EE6"/>
    <w:rsid w:val="00A73F4F"/>
    <w:rsid w:val="00A74234"/>
    <w:rsid w:val="00A74299"/>
    <w:rsid w:val="00A74816"/>
    <w:rsid w:val="00A74E4A"/>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6126"/>
    <w:rsid w:val="00A86239"/>
    <w:rsid w:val="00A866B0"/>
    <w:rsid w:val="00A8696E"/>
    <w:rsid w:val="00A871C8"/>
    <w:rsid w:val="00A87394"/>
    <w:rsid w:val="00A87663"/>
    <w:rsid w:val="00A8770C"/>
    <w:rsid w:val="00A87B31"/>
    <w:rsid w:val="00A909F3"/>
    <w:rsid w:val="00A91511"/>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B17"/>
    <w:rsid w:val="00AA522C"/>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6A3"/>
    <w:rsid w:val="00AB2C23"/>
    <w:rsid w:val="00AB473D"/>
    <w:rsid w:val="00AB4BF2"/>
    <w:rsid w:val="00AB4F36"/>
    <w:rsid w:val="00AB73AE"/>
    <w:rsid w:val="00AB7646"/>
    <w:rsid w:val="00AB7B93"/>
    <w:rsid w:val="00AB7D2F"/>
    <w:rsid w:val="00AC015D"/>
    <w:rsid w:val="00AC02A5"/>
    <w:rsid w:val="00AC0829"/>
    <w:rsid w:val="00AC0C10"/>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5033A"/>
    <w:rsid w:val="00B51222"/>
    <w:rsid w:val="00B51FC0"/>
    <w:rsid w:val="00B51FDC"/>
    <w:rsid w:val="00B53870"/>
    <w:rsid w:val="00B53A3A"/>
    <w:rsid w:val="00B54285"/>
    <w:rsid w:val="00B55111"/>
    <w:rsid w:val="00B55F02"/>
    <w:rsid w:val="00B566A1"/>
    <w:rsid w:val="00B609B0"/>
    <w:rsid w:val="00B60B0A"/>
    <w:rsid w:val="00B612C8"/>
    <w:rsid w:val="00B6149B"/>
    <w:rsid w:val="00B6173F"/>
    <w:rsid w:val="00B61CAF"/>
    <w:rsid w:val="00B62E39"/>
    <w:rsid w:val="00B63321"/>
    <w:rsid w:val="00B64746"/>
    <w:rsid w:val="00B6487B"/>
    <w:rsid w:val="00B64C76"/>
    <w:rsid w:val="00B65BA9"/>
    <w:rsid w:val="00B664D3"/>
    <w:rsid w:val="00B66975"/>
    <w:rsid w:val="00B6777B"/>
    <w:rsid w:val="00B678A2"/>
    <w:rsid w:val="00B678A5"/>
    <w:rsid w:val="00B70618"/>
    <w:rsid w:val="00B70945"/>
    <w:rsid w:val="00B709E1"/>
    <w:rsid w:val="00B72275"/>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3864"/>
    <w:rsid w:val="00B84842"/>
    <w:rsid w:val="00B85413"/>
    <w:rsid w:val="00B86E2E"/>
    <w:rsid w:val="00B87968"/>
    <w:rsid w:val="00B87B29"/>
    <w:rsid w:val="00B87DE7"/>
    <w:rsid w:val="00B903F6"/>
    <w:rsid w:val="00B911BE"/>
    <w:rsid w:val="00B91BDC"/>
    <w:rsid w:val="00B91D41"/>
    <w:rsid w:val="00B92DCA"/>
    <w:rsid w:val="00B9379A"/>
    <w:rsid w:val="00B943E6"/>
    <w:rsid w:val="00B9479F"/>
    <w:rsid w:val="00B95EC4"/>
    <w:rsid w:val="00B9635E"/>
    <w:rsid w:val="00B969D1"/>
    <w:rsid w:val="00B9746E"/>
    <w:rsid w:val="00B979F9"/>
    <w:rsid w:val="00B97E35"/>
    <w:rsid w:val="00BA0874"/>
    <w:rsid w:val="00BA0B0A"/>
    <w:rsid w:val="00BA21A2"/>
    <w:rsid w:val="00BA227A"/>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C6C18"/>
    <w:rsid w:val="00BD0CE9"/>
    <w:rsid w:val="00BD0E1B"/>
    <w:rsid w:val="00BD0EB4"/>
    <w:rsid w:val="00BD1457"/>
    <w:rsid w:val="00BD1680"/>
    <w:rsid w:val="00BD32A8"/>
    <w:rsid w:val="00BD4547"/>
    <w:rsid w:val="00BD4DB7"/>
    <w:rsid w:val="00BD4DD8"/>
    <w:rsid w:val="00BD579D"/>
    <w:rsid w:val="00BD5836"/>
    <w:rsid w:val="00BD61E0"/>
    <w:rsid w:val="00BD6DED"/>
    <w:rsid w:val="00BD70D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D08"/>
    <w:rsid w:val="00BF6ED0"/>
    <w:rsid w:val="00C0045D"/>
    <w:rsid w:val="00C00B3E"/>
    <w:rsid w:val="00C014BA"/>
    <w:rsid w:val="00C018E4"/>
    <w:rsid w:val="00C01ECA"/>
    <w:rsid w:val="00C02690"/>
    <w:rsid w:val="00C02718"/>
    <w:rsid w:val="00C027B5"/>
    <w:rsid w:val="00C0351A"/>
    <w:rsid w:val="00C0393D"/>
    <w:rsid w:val="00C04044"/>
    <w:rsid w:val="00C0427E"/>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B4B"/>
    <w:rsid w:val="00C17404"/>
    <w:rsid w:val="00C175A7"/>
    <w:rsid w:val="00C20797"/>
    <w:rsid w:val="00C20CCD"/>
    <w:rsid w:val="00C20FD0"/>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FD3"/>
    <w:rsid w:val="00C45C7F"/>
    <w:rsid w:val="00C46327"/>
    <w:rsid w:val="00C463D0"/>
    <w:rsid w:val="00C465C4"/>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7BE"/>
    <w:rsid w:val="00C728DF"/>
    <w:rsid w:val="00C72B4B"/>
    <w:rsid w:val="00C72E79"/>
    <w:rsid w:val="00C72F8B"/>
    <w:rsid w:val="00C735C2"/>
    <w:rsid w:val="00C73FB8"/>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B1D"/>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47E"/>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6F9"/>
    <w:rsid w:val="00CD077C"/>
    <w:rsid w:val="00CD19B9"/>
    <w:rsid w:val="00CD2ACB"/>
    <w:rsid w:val="00CD2DC4"/>
    <w:rsid w:val="00CD3600"/>
    <w:rsid w:val="00CD3BD3"/>
    <w:rsid w:val="00CD3D26"/>
    <w:rsid w:val="00CD4174"/>
    <w:rsid w:val="00CD4461"/>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1B"/>
    <w:rsid w:val="00CE0EDE"/>
    <w:rsid w:val="00CE1707"/>
    <w:rsid w:val="00CE190B"/>
    <w:rsid w:val="00CE1AB8"/>
    <w:rsid w:val="00CE1DB4"/>
    <w:rsid w:val="00CE1DBB"/>
    <w:rsid w:val="00CE3033"/>
    <w:rsid w:val="00CE3B2B"/>
    <w:rsid w:val="00CE4956"/>
    <w:rsid w:val="00CE526B"/>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2FE5"/>
    <w:rsid w:val="00CF3B52"/>
    <w:rsid w:val="00CF3C81"/>
    <w:rsid w:val="00CF3E18"/>
    <w:rsid w:val="00CF415F"/>
    <w:rsid w:val="00CF4A6A"/>
    <w:rsid w:val="00CF57A4"/>
    <w:rsid w:val="00CF5DAA"/>
    <w:rsid w:val="00CF63CE"/>
    <w:rsid w:val="00CF705D"/>
    <w:rsid w:val="00CF7449"/>
    <w:rsid w:val="00D004EE"/>
    <w:rsid w:val="00D01837"/>
    <w:rsid w:val="00D01DF3"/>
    <w:rsid w:val="00D03750"/>
    <w:rsid w:val="00D03A66"/>
    <w:rsid w:val="00D03D8D"/>
    <w:rsid w:val="00D04192"/>
    <w:rsid w:val="00D04414"/>
    <w:rsid w:val="00D0461B"/>
    <w:rsid w:val="00D0619F"/>
    <w:rsid w:val="00D062F9"/>
    <w:rsid w:val="00D0770E"/>
    <w:rsid w:val="00D07C5E"/>
    <w:rsid w:val="00D12679"/>
    <w:rsid w:val="00D12A21"/>
    <w:rsid w:val="00D13B18"/>
    <w:rsid w:val="00D145CD"/>
    <w:rsid w:val="00D145F6"/>
    <w:rsid w:val="00D1479C"/>
    <w:rsid w:val="00D147FA"/>
    <w:rsid w:val="00D14A56"/>
    <w:rsid w:val="00D14C16"/>
    <w:rsid w:val="00D14D58"/>
    <w:rsid w:val="00D150CE"/>
    <w:rsid w:val="00D15AE6"/>
    <w:rsid w:val="00D1607E"/>
    <w:rsid w:val="00D16ABA"/>
    <w:rsid w:val="00D172D6"/>
    <w:rsid w:val="00D20172"/>
    <w:rsid w:val="00D201DA"/>
    <w:rsid w:val="00D2121C"/>
    <w:rsid w:val="00D21676"/>
    <w:rsid w:val="00D220B2"/>
    <w:rsid w:val="00D224B7"/>
    <w:rsid w:val="00D22D26"/>
    <w:rsid w:val="00D23077"/>
    <w:rsid w:val="00D234B4"/>
    <w:rsid w:val="00D235AE"/>
    <w:rsid w:val="00D23BBF"/>
    <w:rsid w:val="00D2424D"/>
    <w:rsid w:val="00D243A8"/>
    <w:rsid w:val="00D24AE1"/>
    <w:rsid w:val="00D25137"/>
    <w:rsid w:val="00D25245"/>
    <w:rsid w:val="00D26B6C"/>
    <w:rsid w:val="00D26D7D"/>
    <w:rsid w:val="00D27635"/>
    <w:rsid w:val="00D279FE"/>
    <w:rsid w:val="00D27A47"/>
    <w:rsid w:val="00D30EBA"/>
    <w:rsid w:val="00D319D7"/>
    <w:rsid w:val="00D31E4B"/>
    <w:rsid w:val="00D31F69"/>
    <w:rsid w:val="00D3210A"/>
    <w:rsid w:val="00D32168"/>
    <w:rsid w:val="00D326BD"/>
    <w:rsid w:val="00D32B1A"/>
    <w:rsid w:val="00D33204"/>
    <w:rsid w:val="00D333A0"/>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B27"/>
    <w:rsid w:val="00D42058"/>
    <w:rsid w:val="00D4226B"/>
    <w:rsid w:val="00D4265E"/>
    <w:rsid w:val="00D42D9A"/>
    <w:rsid w:val="00D44582"/>
    <w:rsid w:val="00D4479F"/>
    <w:rsid w:val="00D45030"/>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D2A"/>
    <w:rsid w:val="00D80EE0"/>
    <w:rsid w:val="00D81476"/>
    <w:rsid w:val="00D8287C"/>
    <w:rsid w:val="00D83857"/>
    <w:rsid w:val="00D8516A"/>
    <w:rsid w:val="00D856EB"/>
    <w:rsid w:val="00D86081"/>
    <w:rsid w:val="00D866FB"/>
    <w:rsid w:val="00D86FA3"/>
    <w:rsid w:val="00D87901"/>
    <w:rsid w:val="00D87F6E"/>
    <w:rsid w:val="00D90203"/>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D5B"/>
    <w:rsid w:val="00DB0461"/>
    <w:rsid w:val="00DB0845"/>
    <w:rsid w:val="00DB1F6F"/>
    <w:rsid w:val="00DB20FC"/>
    <w:rsid w:val="00DB250A"/>
    <w:rsid w:val="00DB2656"/>
    <w:rsid w:val="00DB2C9C"/>
    <w:rsid w:val="00DB4432"/>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3064"/>
    <w:rsid w:val="00DC3399"/>
    <w:rsid w:val="00DC3BB0"/>
    <w:rsid w:val="00DC3F37"/>
    <w:rsid w:val="00DC40C7"/>
    <w:rsid w:val="00DC5195"/>
    <w:rsid w:val="00DC5971"/>
    <w:rsid w:val="00DC718F"/>
    <w:rsid w:val="00DC7224"/>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F8B"/>
    <w:rsid w:val="00DE7360"/>
    <w:rsid w:val="00DE7498"/>
    <w:rsid w:val="00DE7612"/>
    <w:rsid w:val="00DE7777"/>
    <w:rsid w:val="00DE7A6F"/>
    <w:rsid w:val="00DE7BFA"/>
    <w:rsid w:val="00DE7F2C"/>
    <w:rsid w:val="00DF0B58"/>
    <w:rsid w:val="00DF14C5"/>
    <w:rsid w:val="00DF1FED"/>
    <w:rsid w:val="00DF25BB"/>
    <w:rsid w:val="00DF2795"/>
    <w:rsid w:val="00DF2C92"/>
    <w:rsid w:val="00DF2D26"/>
    <w:rsid w:val="00DF3776"/>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21EA"/>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2D7"/>
    <w:rsid w:val="00E20458"/>
    <w:rsid w:val="00E206B0"/>
    <w:rsid w:val="00E21018"/>
    <w:rsid w:val="00E2140F"/>
    <w:rsid w:val="00E2163F"/>
    <w:rsid w:val="00E22772"/>
    <w:rsid w:val="00E22DDB"/>
    <w:rsid w:val="00E234CA"/>
    <w:rsid w:val="00E24AC1"/>
    <w:rsid w:val="00E25645"/>
    <w:rsid w:val="00E25BD5"/>
    <w:rsid w:val="00E26678"/>
    <w:rsid w:val="00E26ABA"/>
    <w:rsid w:val="00E278C5"/>
    <w:rsid w:val="00E27A7B"/>
    <w:rsid w:val="00E30B54"/>
    <w:rsid w:val="00E31749"/>
    <w:rsid w:val="00E31D33"/>
    <w:rsid w:val="00E31DD1"/>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3A97"/>
    <w:rsid w:val="00E5455E"/>
    <w:rsid w:val="00E554E5"/>
    <w:rsid w:val="00E55ED8"/>
    <w:rsid w:val="00E56337"/>
    <w:rsid w:val="00E56DF6"/>
    <w:rsid w:val="00E57575"/>
    <w:rsid w:val="00E57F38"/>
    <w:rsid w:val="00E57FF6"/>
    <w:rsid w:val="00E60491"/>
    <w:rsid w:val="00E60A9B"/>
    <w:rsid w:val="00E60CA6"/>
    <w:rsid w:val="00E618C4"/>
    <w:rsid w:val="00E61B2A"/>
    <w:rsid w:val="00E626B1"/>
    <w:rsid w:val="00E62F45"/>
    <w:rsid w:val="00E634DD"/>
    <w:rsid w:val="00E63E6A"/>
    <w:rsid w:val="00E64BDA"/>
    <w:rsid w:val="00E64D0D"/>
    <w:rsid w:val="00E6554E"/>
    <w:rsid w:val="00E6751B"/>
    <w:rsid w:val="00E67A2C"/>
    <w:rsid w:val="00E7002E"/>
    <w:rsid w:val="00E701B0"/>
    <w:rsid w:val="00E71A20"/>
    <w:rsid w:val="00E71E5B"/>
    <w:rsid w:val="00E71E9C"/>
    <w:rsid w:val="00E72055"/>
    <w:rsid w:val="00E7218C"/>
    <w:rsid w:val="00E7219F"/>
    <w:rsid w:val="00E7280D"/>
    <w:rsid w:val="00E7292F"/>
    <w:rsid w:val="00E72B75"/>
    <w:rsid w:val="00E738D1"/>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1264"/>
    <w:rsid w:val="00EA1C5E"/>
    <w:rsid w:val="00EA221E"/>
    <w:rsid w:val="00EA2278"/>
    <w:rsid w:val="00EA2904"/>
    <w:rsid w:val="00EA330F"/>
    <w:rsid w:val="00EA3959"/>
    <w:rsid w:val="00EA3DCE"/>
    <w:rsid w:val="00EA4819"/>
    <w:rsid w:val="00EA4BA3"/>
    <w:rsid w:val="00EA4CFB"/>
    <w:rsid w:val="00EA595A"/>
    <w:rsid w:val="00EA7881"/>
    <w:rsid w:val="00EB10D4"/>
    <w:rsid w:val="00EB1B47"/>
    <w:rsid w:val="00EB2939"/>
    <w:rsid w:val="00EB2E0E"/>
    <w:rsid w:val="00EB2FC4"/>
    <w:rsid w:val="00EB3BC0"/>
    <w:rsid w:val="00EB43DA"/>
    <w:rsid w:val="00EB45E3"/>
    <w:rsid w:val="00EB509E"/>
    <w:rsid w:val="00EB58EB"/>
    <w:rsid w:val="00EB59E8"/>
    <w:rsid w:val="00EB660A"/>
    <w:rsid w:val="00EB6AA3"/>
    <w:rsid w:val="00EB6F1A"/>
    <w:rsid w:val="00EB79F7"/>
    <w:rsid w:val="00EB7DC8"/>
    <w:rsid w:val="00EB7E71"/>
    <w:rsid w:val="00EC0248"/>
    <w:rsid w:val="00EC063A"/>
    <w:rsid w:val="00EC0674"/>
    <w:rsid w:val="00EC0A94"/>
    <w:rsid w:val="00EC1680"/>
    <w:rsid w:val="00EC2E88"/>
    <w:rsid w:val="00EC4005"/>
    <w:rsid w:val="00EC422A"/>
    <w:rsid w:val="00EC427C"/>
    <w:rsid w:val="00EC4680"/>
    <w:rsid w:val="00EC491D"/>
    <w:rsid w:val="00EC4948"/>
    <w:rsid w:val="00EC4A2F"/>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C47"/>
    <w:rsid w:val="00EE0E08"/>
    <w:rsid w:val="00EE167F"/>
    <w:rsid w:val="00EE1BDB"/>
    <w:rsid w:val="00EE1C82"/>
    <w:rsid w:val="00EE2341"/>
    <w:rsid w:val="00EE3C23"/>
    <w:rsid w:val="00EE3E29"/>
    <w:rsid w:val="00EE3FDF"/>
    <w:rsid w:val="00EE4E6A"/>
    <w:rsid w:val="00EE544E"/>
    <w:rsid w:val="00EE6057"/>
    <w:rsid w:val="00EE6D56"/>
    <w:rsid w:val="00EE6EB7"/>
    <w:rsid w:val="00EE7722"/>
    <w:rsid w:val="00EE7744"/>
    <w:rsid w:val="00EE7A72"/>
    <w:rsid w:val="00EF0098"/>
    <w:rsid w:val="00EF0AA1"/>
    <w:rsid w:val="00EF1BDB"/>
    <w:rsid w:val="00EF2734"/>
    <w:rsid w:val="00EF3BB2"/>
    <w:rsid w:val="00EF400D"/>
    <w:rsid w:val="00EF48F8"/>
    <w:rsid w:val="00EF49E9"/>
    <w:rsid w:val="00EF5D57"/>
    <w:rsid w:val="00EF6597"/>
    <w:rsid w:val="00EF6CBA"/>
    <w:rsid w:val="00EF6CEC"/>
    <w:rsid w:val="00EF6D18"/>
    <w:rsid w:val="00EF6F80"/>
    <w:rsid w:val="00EF77C5"/>
    <w:rsid w:val="00EF7CA7"/>
    <w:rsid w:val="00F0028D"/>
    <w:rsid w:val="00F00F77"/>
    <w:rsid w:val="00F010D5"/>
    <w:rsid w:val="00F0135B"/>
    <w:rsid w:val="00F01807"/>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354B"/>
    <w:rsid w:val="00F23697"/>
    <w:rsid w:val="00F23859"/>
    <w:rsid w:val="00F23AF1"/>
    <w:rsid w:val="00F23E5E"/>
    <w:rsid w:val="00F23F9D"/>
    <w:rsid w:val="00F24B1E"/>
    <w:rsid w:val="00F24F60"/>
    <w:rsid w:val="00F25227"/>
    <w:rsid w:val="00F25726"/>
    <w:rsid w:val="00F258FF"/>
    <w:rsid w:val="00F2599F"/>
    <w:rsid w:val="00F25C89"/>
    <w:rsid w:val="00F2695F"/>
    <w:rsid w:val="00F27346"/>
    <w:rsid w:val="00F2773B"/>
    <w:rsid w:val="00F27F0A"/>
    <w:rsid w:val="00F310E5"/>
    <w:rsid w:val="00F3159F"/>
    <w:rsid w:val="00F32636"/>
    <w:rsid w:val="00F333E6"/>
    <w:rsid w:val="00F3391F"/>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6DF2"/>
    <w:rsid w:val="00F77961"/>
    <w:rsid w:val="00F77D09"/>
    <w:rsid w:val="00F80342"/>
    <w:rsid w:val="00F807F2"/>
    <w:rsid w:val="00F807FE"/>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BD"/>
    <w:rsid w:val="00FD1146"/>
    <w:rsid w:val="00FD189F"/>
    <w:rsid w:val="00FD1E3B"/>
    <w:rsid w:val="00FD39E4"/>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B3F"/>
    <w:rsid w:val="00FF2EBE"/>
    <w:rsid w:val="00FF2FEB"/>
    <w:rsid w:val="00FF30A3"/>
    <w:rsid w:val="00FF37A8"/>
    <w:rsid w:val="00FF4F65"/>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A38E6"/>
  <w15:docId w15:val="{9D0BC544-4330-4F64-8054-3B23440F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407C"/>
    <w:pPr>
      <w:keepNext/>
      <w:spacing w:before="240" w:after="60"/>
      <w:outlineLvl w:val="0"/>
    </w:pPr>
    <w:rPr>
      <w:rFonts w:ascii="Cambria" w:eastAsia="Times New Roman" w:hAnsi="Cambria" w:cs="Times New Roman"/>
      <w:b/>
      <w:bCs/>
      <w:kern w:val="32"/>
      <w:sz w:val="32"/>
      <w:szCs w:val="32"/>
      <w:lang w:val="en-US"/>
    </w:rPr>
  </w:style>
  <w:style w:type="paragraph" w:styleId="2">
    <w:name w:val="heading 2"/>
    <w:basedOn w:val="a"/>
    <w:next w:val="a"/>
    <w:link w:val="20"/>
    <w:uiPriority w:val="9"/>
    <w:semiHidden/>
    <w:unhideWhenUsed/>
    <w:qFormat/>
    <w:rsid w:val="0003407C"/>
    <w:pPr>
      <w:keepNext/>
      <w:spacing w:before="240" w:after="60"/>
      <w:outlineLvl w:val="1"/>
    </w:pPr>
    <w:rPr>
      <w:rFonts w:ascii="Cambria" w:eastAsia="Times New Roman" w:hAnsi="Cambria" w:cs="Times New Roman"/>
      <w:b/>
      <w:bCs/>
      <w:i/>
      <w:iCs/>
      <w:sz w:val="28"/>
      <w:szCs w:val="28"/>
      <w:lang w:val="en-US"/>
    </w:rPr>
  </w:style>
  <w:style w:type="paragraph" w:styleId="3">
    <w:name w:val="heading 3"/>
    <w:basedOn w:val="a"/>
    <w:next w:val="a"/>
    <w:link w:val="30"/>
    <w:uiPriority w:val="9"/>
    <w:semiHidden/>
    <w:unhideWhenUsed/>
    <w:qFormat/>
    <w:rsid w:val="0003407C"/>
    <w:pPr>
      <w:keepNext/>
      <w:spacing w:before="240" w:after="60"/>
      <w:outlineLvl w:val="2"/>
    </w:pPr>
    <w:rPr>
      <w:rFonts w:ascii="Cambria" w:eastAsia="Times New Roman" w:hAnsi="Cambria" w:cs="Times New Roman"/>
      <w:b/>
      <w:bCs/>
      <w:sz w:val="26"/>
      <w:szCs w:val="26"/>
      <w:lang w:val="en-US"/>
    </w:rPr>
  </w:style>
  <w:style w:type="paragraph" w:styleId="4">
    <w:name w:val="heading 4"/>
    <w:basedOn w:val="a"/>
    <w:next w:val="a"/>
    <w:link w:val="40"/>
    <w:qFormat/>
    <w:rsid w:val="0003407C"/>
    <w:pPr>
      <w:keepNext/>
      <w:spacing w:after="0" w:line="240" w:lineRule="auto"/>
      <w:jc w:val="both"/>
      <w:outlineLvl w:val="3"/>
    </w:pPr>
    <w:rPr>
      <w:rFonts w:ascii="Times New Roman" w:eastAsia="Times New Roman" w:hAnsi="Times New Roman" w:cs="Times New Roman"/>
      <w:sz w:val="24"/>
      <w:szCs w:val="24"/>
      <w:u w:val="single"/>
      <w:lang w:val="uk-UA" w:eastAsia="x-none"/>
    </w:rPr>
  </w:style>
  <w:style w:type="paragraph" w:styleId="5">
    <w:name w:val="heading 5"/>
    <w:basedOn w:val="a"/>
    <w:next w:val="a"/>
    <w:link w:val="50"/>
    <w:uiPriority w:val="9"/>
    <w:semiHidden/>
    <w:unhideWhenUsed/>
    <w:qFormat/>
    <w:rsid w:val="0003407C"/>
    <w:pPr>
      <w:spacing w:before="240" w:after="60"/>
      <w:outlineLvl w:val="4"/>
    </w:pPr>
    <w:rPr>
      <w:rFonts w:ascii="Calibri" w:eastAsia="Times New Roman" w:hAnsi="Calibri"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customStyle="1" w:styleId="a4">
    <w:name w:val="Без інтервалів"/>
    <w:uiPriority w:val="1"/>
    <w:qFormat/>
    <w:rsid w:val="00745D22"/>
    <w:pPr>
      <w:spacing w:after="0" w:line="240" w:lineRule="auto"/>
    </w:pPr>
    <w:rPr>
      <w:rFonts w:ascii="Calibri" w:eastAsia="Calibri" w:hAnsi="Calibri" w:cs="Times New Roman"/>
      <w:lang w:val="en-US"/>
    </w:rPr>
  </w:style>
  <w:style w:type="paragraph" w:customStyle="1" w:styleId="Text1">
    <w:name w:val="Text 1"/>
    <w:basedOn w:val="a"/>
    <w:rsid w:val="0022123A"/>
    <w:pPr>
      <w:autoSpaceDE w:val="0"/>
      <w:autoSpaceDN w:val="0"/>
      <w:adjustRightInd w:val="0"/>
      <w:spacing w:before="120" w:after="0" w:line="240" w:lineRule="auto"/>
    </w:pPr>
    <w:rPr>
      <w:rFonts w:ascii="Arial" w:eastAsia="Times New Roman" w:hAnsi="Arial" w:cs="Times New Roman"/>
      <w:sz w:val="24"/>
      <w:szCs w:val="20"/>
      <w:lang w:val="en-US" w:eastAsia="en-GB"/>
    </w:rPr>
  </w:style>
  <w:style w:type="character" w:customStyle="1" w:styleId="10">
    <w:name w:val="Заголовок 1 Знак"/>
    <w:basedOn w:val="a0"/>
    <w:link w:val="1"/>
    <w:uiPriority w:val="9"/>
    <w:rsid w:val="0003407C"/>
    <w:rPr>
      <w:rFonts w:ascii="Cambria" w:eastAsia="Times New Roman" w:hAnsi="Cambria" w:cs="Times New Roman"/>
      <w:b/>
      <w:bCs/>
      <w:kern w:val="32"/>
      <w:sz w:val="32"/>
      <w:szCs w:val="32"/>
      <w:lang w:val="en-US"/>
    </w:rPr>
  </w:style>
  <w:style w:type="character" w:customStyle="1" w:styleId="20">
    <w:name w:val="Заголовок 2 Знак"/>
    <w:basedOn w:val="a0"/>
    <w:link w:val="2"/>
    <w:uiPriority w:val="9"/>
    <w:semiHidden/>
    <w:rsid w:val="0003407C"/>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semiHidden/>
    <w:rsid w:val="0003407C"/>
    <w:rPr>
      <w:rFonts w:ascii="Cambria" w:eastAsia="Times New Roman" w:hAnsi="Cambria" w:cs="Times New Roman"/>
      <w:b/>
      <w:bCs/>
      <w:sz w:val="26"/>
      <w:szCs w:val="26"/>
      <w:lang w:val="en-US"/>
    </w:rPr>
  </w:style>
  <w:style w:type="character" w:customStyle="1" w:styleId="40">
    <w:name w:val="Заголовок 4 Знак"/>
    <w:basedOn w:val="a0"/>
    <w:link w:val="4"/>
    <w:rsid w:val="0003407C"/>
    <w:rPr>
      <w:rFonts w:ascii="Times New Roman" w:eastAsia="Times New Roman" w:hAnsi="Times New Roman" w:cs="Times New Roman"/>
      <w:sz w:val="24"/>
      <w:szCs w:val="24"/>
      <w:u w:val="single"/>
      <w:lang w:val="uk-UA" w:eastAsia="x-none"/>
    </w:rPr>
  </w:style>
  <w:style w:type="character" w:customStyle="1" w:styleId="50">
    <w:name w:val="Заголовок 5 Знак"/>
    <w:basedOn w:val="a0"/>
    <w:link w:val="5"/>
    <w:uiPriority w:val="9"/>
    <w:semiHidden/>
    <w:rsid w:val="0003407C"/>
    <w:rPr>
      <w:rFonts w:ascii="Calibri" w:eastAsia="Times New Roman" w:hAnsi="Calibri" w:cs="Times New Roman"/>
      <w:b/>
      <w:bCs/>
      <w:i/>
      <w:iCs/>
      <w:sz w:val="26"/>
      <w:szCs w:val="26"/>
      <w:lang w:val="en-US"/>
    </w:rPr>
  </w:style>
  <w:style w:type="numbering" w:customStyle="1" w:styleId="11">
    <w:name w:val="Нет списка1"/>
    <w:next w:val="a2"/>
    <w:uiPriority w:val="99"/>
    <w:semiHidden/>
    <w:unhideWhenUsed/>
    <w:rsid w:val="0003407C"/>
  </w:style>
  <w:style w:type="paragraph" w:styleId="a5">
    <w:name w:val="footer"/>
    <w:basedOn w:val="a"/>
    <w:link w:val="a6"/>
    <w:uiPriority w:val="99"/>
    <w:rsid w:val="0003407C"/>
    <w:pPr>
      <w:tabs>
        <w:tab w:val="center" w:pos="4677"/>
        <w:tab w:val="right" w:pos="9355"/>
      </w:tabs>
    </w:pPr>
    <w:rPr>
      <w:rFonts w:ascii="Calibri" w:eastAsia="Calibri" w:hAnsi="Calibri" w:cs="Times New Roman"/>
      <w:lang w:val="en-US"/>
    </w:rPr>
  </w:style>
  <w:style w:type="character" w:customStyle="1" w:styleId="a6">
    <w:name w:val="Нижний колонтитул Знак"/>
    <w:basedOn w:val="a0"/>
    <w:link w:val="a5"/>
    <w:uiPriority w:val="99"/>
    <w:rsid w:val="0003407C"/>
    <w:rPr>
      <w:rFonts w:ascii="Calibri" w:eastAsia="Calibri" w:hAnsi="Calibri" w:cs="Times New Roman"/>
      <w:lang w:val="en-US"/>
    </w:rPr>
  </w:style>
  <w:style w:type="character" w:styleId="a7">
    <w:name w:val="page number"/>
    <w:basedOn w:val="a0"/>
    <w:rsid w:val="0003407C"/>
  </w:style>
  <w:style w:type="paragraph" w:styleId="a8">
    <w:name w:val="Balloon Text"/>
    <w:basedOn w:val="a"/>
    <w:link w:val="a9"/>
    <w:semiHidden/>
    <w:rsid w:val="0003407C"/>
    <w:rPr>
      <w:rFonts w:ascii="Tahoma" w:eastAsia="Calibri" w:hAnsi="Tahoma" w:cs="Tahoma"/>
      <w:sz w:val="16"/>
      <w:szCs w:val="16"/>
      <w:lang w:val="en-US"/>
    </w:rPr>
  </w:style>
  <w:style w:type="character" w:customStyle="1" w:styleId="a9">
    <w:name w:val="Текст выноски Знак"/>
    <w:basedOn w:val="a0"/>
    <w:link w:val="a8"/>
    <w:semiHidden/>
    <w:rsid w:val="0003407C"/>
    <w:rPr>
      <w:rFonts w:ascii="Tahoma" w:eastAsia="Calibri" w:hAnsi="Tahoma" w:cs="Tahoma"/>
      <w:sz w:val="16"/>
      <w:szCs w:val="16"/>
      <w:lang w:val="en-US"/>
    </w:rPr>
  </w:style>
  <w:style w:type="character" w:customStyle="1" w:styleId="FontStyle42">
    <w:name w:val="Font Style42"/>
    <w:rsid w:val="0003407C"/>
    <w:rPr>
      <w:rFonts w:ascii="Times New Roman" w:hAnsi="Times New Roman" w:cs="Times New Roman"/>
      <w:sz w:val="20"/>
      <w:szCs w:val="20"/>
    </w:rPr>
  </w:style>
  <w:style w:type="paragraph" w:customStyle="1" w:styleId="Style22">
    <w:name w:val="Style2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03407C"/>
    <w:rPr>
      <w:rFonts w:ascii="Times New Roman" w:hAnsi="Times New Roman" w:cs="Times New Roman"/>
      <w:b/>
      <w:bCs/>
      <w:i/>
      <w:iCs/>
      <w:sz w:val="20"/>
      <w:szCs w:val="20"/>
    </w:rPr>
  </w:style>
  <w:style w:type="paragraph" w:customStyle="1" w:styleId="Style7">
    <w:name w:val="Style7"/>
    <w:basedOn w:val="a"/>
    <w:rsid w:val="0003407C"/>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table" w:styleId="aa">
    <w:name w:val="Table Grid"/>
    <w:basedOn w:val="a1"/>
    <w:rsid w:val="0003407C"/>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
    <w:name w:val="Style24"/>
    <w:basedOn w:val="a"/>
    <w:rsid w:val="0003407C"/>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26">
    <w:name w:val="Style26"/>
    <w:basedOn w:val="a"/>
    <w:rsid w:val="0003407C"/>
    <w:pPr>
      <w:widowControl w:val="0"/>
      <w:autoSpaceDE w:val="0"/>
      <w:autoSpaceDN w:val="0"/>
      <w:adjustRightInd w:val="0"/>
      <w:spacing w:after="0" w:line="206" w:lineRule="exact"/>
      <w:ind w:firstLine="77"/>
    </w:pPr>
    <w:rPr>
      <w:rFonts w:ascii="Times New Roman" w:eastAsia="Times New Roman" w:hAnsi="Times New Roman" w:cs="Times New Roman"/>
      <w:sz w:val="24"/>
      <w:szCs w:val="24"/>
      <w:lang w:eastAsia="ru-RU"/>
    </w:rPr>
  </w:style>
  <w:style w:type="paragraph" w:customStyle="1" w:styleId="Style27">
    <w:name w:val="Style27"/>
    <w:basedOn w:val="a"/>
    <w:rsid w:val="0003407C"/>
    <w:pPr>
      <w:widowControl w:val="0"/>
      <w:autoSpaceDE w:val="0"/>
      <w:autoSpaceDN w:val="0"/>
      <w:adjustRightInd w:val="0"/>
      <w:spacing w:after="0" w:line="207" w:lineRule="exact"/>
    </w:pPr>
    <w:rPr>
      <w:rFonts w:ascii="Times New Roman" w:eastAsia="Times New Roman" w:hAnsi="Times New Roman" w:cs="Times New Roman"/>
      <w:sz w:val="24"/>
      <w:szCs w:val="24"/>
      <w:lang w:eastAsia="ru-RU"/>
    </w:rPr>
  </w:style>
  <w:style w:type="character" w:customStyle="1" w:styleId="FontStyle39">
    <w:name w:val="Font Style39"/>
    <w:rsid w:val="0003407C"/>
    <w:rPr>
      <w:rFonts w:ascii="Times New Roman" w:hAnsi="Times New Roman" w:cs="Times New Roman"/>
      <w:sz w:val="16"/>
      <w:szCs w:val="16"/>
    </w:rPr>
  </w:style>
  <w:style w:type="paragraph" w:customStyle="1" w:styleId="Style5">
    <w:name w:val="Style5"/>
    <w:basedOn w:val="a"/>
    <w:rsid w:val="0003407C"/>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40">
    <w:name w:val="Font Style40"/>
    <w:rsid w:val="0003407C"/>
    <w:rPr>
      <w:rFonts w:ascii="Times New Roman" w:hAnsi="Times New Roman" w:cs="Times New Roman"/>
      <w:i/>
      <w:iCs/>
      <w:sz w:val="20"/>
      <w:szCs w:val="20"/>
    </w:rPr>
  </w:style>
  <w:style w:type="character" w:customStyle="1" w:styleId="FontStyle41">
    <w:name w:val="Font Style41"/>
    <w:rsid w:val="0003407C"/>
    <w:rPr>
      <w:rFonts w:ascii="Times New Roman" w:hAnsi="Times New Roman" w:cs="Times New Roman"/>
      <w:b/>
      <w:bCs/>
      <w:sz w:val="20"/>
      <w:szCs w:val="20"/>
    </w:rPr>
  </w:style>
  <w:style w:type="character" w:styleId="ab">
    <w:name w:val="annotation reference"/>
    <w:semiHidden/>
    <w:rsid w:val="0003407C"/>
    <w:rPr>
      <w:sz w:val="16"/>
      <w:szCs w:val="16"/>
    </w:rPr>
  </w:style>
  <w:style w:type="paragraph" w:styleId="ac">
    <w:name w:val="annotation text"/>
    <w:basedOn w:val="a"/>
    <w:link w:val="ad"/>
    <w:semiHidden/>
    <w:rsid w:val="0003407C"/>
    <w:rPr>
      <w:rFonts w:ascii="Calibri" w:eastAsia="Calibri" w:hAnsi="Calibri" w:cs="Times New Roman"/>
      <w:sz w:val="20"/>
      <w:szCs w:val="20"/>
      <w:lang w:val="en-US"/>
    </w:rPr>
  </w:style>
  <w:style w:type="character" w:customStyle="1" w:styleId="ad">
    <w:name w:val="Текст примечания Знак"/>
    <w:basedOn w:val="a0"/>
    <w:link w:val="ac"/>
    <w:semiHidden/>
    <w:rsid w:val="0003407C"/>
    <w:rPr>
      <w:rFonts w:ascii="Calibri" w:eastAsia="Calibri" w:hAnsi="Calibri" w:cs="Times New Roman"/>
      <w:sz w:val="20"/>
      <w:szCs w:val="20"/>
      <w:lang w:val="en-US"/>
    </w:rPr>
  </w:style>
  <w:style w:type="paragraph" w:styleId="ae">
    <w:name w:val="annotation subject"/>
    <w:basedOn w:val="ac"/>
    <w:next w:val="ac"/>
    <w:link w:val="af"/>
    <w:semiHidden/>
    <w:rsid w:val="0003407C"/>
    <w:rPr>
      <w:b/>
      <w:bCs/>
    </w:rPr>
  </w:style>
  <w:style w:type="character" w:customStyle="1" w:styleId="af">
    <w:name w:val="Тема примечания Знак"/>
    <w:basedOn w:val="ad"/>
    <w:link w:val="ae"/>
    <w:semiHidden/>
    <w:rsid w:val="0003407C"/>
    <w:rPr>
      <w:rFonts w:ascii="Calibri" w:eastAsia="Calibri" w:hAnsi="Calibri" w:cs="Times New Roman"/>
      <w:b/>
      <w:bCs/>
      <w:sz w:val="20"/>
      <w:szCs w:val="20"/>
      <w:lang w:val="en-US"/>
    </w:rPr>
  </w:style>
  <w:style w:type="paragraph" w:styleId="af0">
    <w:name w:val="header"/>
    <w:basedOn w:val="a"/>
    <w:link w:val="af1"/>
    <w:uiPriority w:val="99"/>
    <w:unhideWhenUsed/>
    <w:rsid w:val="0003407C"/>
    <w:pPr>
      <w:tabs>
        <w:tab w:val="center" w:pos="4677"/>
        <w:tab w:val="right" w:pos="9355"/>
      </w:tabs>
    </w:pPr>
    <w:rPr>
      <w:rFonts w:ascii="Calibri" w:eastAsia="Calibri" w:hAnsi="Calibri" w:cs="Times New Roman"/>
      <w:lang w:val="en-US"/>
    </w:rPr>
  </w:style>
  <w:style w:type="character" w:customStyle="1" w:styleId="af1">
    <w:name w:val="Верхний колонтитул Знак"/>
    <w:basedOn w:val="a0"/>
    <w:link w:val="af0"/>
    <w:uiPriority w:val="99"/>
    <w:rsid w:val="0003407C"/>
    <w:rPr>
      <w:rFonts w:ascii="Calibri" w:eastAsia="Calibri" w:hAnsi="Calibri" w:cs="Times New Roman"/>
      <w:lang w:val="en-US"/>
    </w:rPr>
  </w:style>
  <w:style w:type="paragraph" w:customStyle="1" w:styleId="Style2">
    <w:name w:val="Style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rmalWeb1">
    <w:name w:val="Normal (Web)1"/>
    <w:basedOn w:val="a"/>
    <w:rsid w:val="0003407C"/>
    <w:pPr>
      <w:suppressAutoHyphens/>
      <w:spacing w:before="280" w:after="75" w:line="240" w:lineRule="auto"/>
    </w:pPr>
    <w:rPr>
      <w:rFonts w:ascii="Times New Roman" w:eastAsia="Times New Roman" w:hAnsi="Times New Roman" w:cs="Times New Roman"/>
      <w:color w:val="000000"/>
      <w:sz w:val="24"/>
      <w:szCs w:val="24"/>
      <w:lang w:eastAsia="ar-SA"/>
    </w:rPr>
  </w:style>
  <w:style w:type="paragraph" w:styleId="31">
    <w:name w:val="Body Text 3"/>
    <w:basedOn w:val="a"/>
    <w:link w:val="32"/>
    <w:rsid w:val="0003407C"/>
    <w:pPr>
      <w:spacing w:after="0" w:line="240" w:lineRule="auto"/>
      <w:jc w:val="both"/>
    </w:pPr>
    <w:rPr>
      <w:rFonts w:ascii="Times New Roman" w:eastAsia="Times New Roman" w:hAnsi="Times New Roman" w:cs="Times New Roman"/>
      <w:bCs/>
      <w:i/>
      <w:sz w:val="28"/>
      <w:szCs w:val="24"/>
      <w:lang w:val="x-none" w:eastAsia="x-none"/>
    </w:rPr>
  </w:style>
  <w:style w:type="character" w:customStyle="1" w:styleId="32">
    <w:name w:val="Основной текст 3 Знак"/>
    <w:basedOn w:val="a0"/>
    <w:link w:val="31"/>
    <w:rsid w:val="0003407C"/>
    <w:rPr>
      <w:rFonts w:ascii="Times New Roman" w:eastAsia="Times New Roman" w:hAnsi="Times New Roman" w:cs="Times New Roman"/>
      <w:bCs/>
      <w:i/>
      <w:sz w:val="28"/>
      <w:szCs w:val="24"/>
      <w:lang w:val="x-none" w:eastAsia="x-none"/>
    </w:rPr>
  </w:style>
  <w:style w:type="paragraph" w:styleId="af2">
    <w:name w:val="Body Text"/>
    <w:basedOn w:val="a"/>
    <w:link w:val="af3"/>
    <w:uiPriority w:val="99"/>
    <w:semiHidden/>
    <w:unhideWhenUsed/>
    <w:rsid w:val="0003407C"/>
    <w:pPr>
      <w:spacing w:after="120"/>
    </w:pPr>
    <w:rPr>
      <w:rFonts w:ascii="Calibri" w:eastAsia="Calibri" w:hAnsi="Calibri" w:cs="Times New Roman"/>
      <w:lang w:val="en-US"/>
    </w:rPr>
  </w:style>
  <w:style w:type="character" w:customStyle="1" w:styleId="af3">
    <w:name w:val="Основной текст Знак"/>
    <w:basedOn w:val="a0"/>
    <w:link w:val="af2"/>
    <w:uiPriority w:val="99"/>
    <w:semiHidden/>
    <w:rsid w:val="0003407C"/>
    <w:rPr>
      <w:rFonts w:ascii="Calibri" w:eastAsia="Calibri" w:hAnsi="Calibri" w:cs="Times New Roman"/>
      <w:lang w:val="en-US"/>
    </w:rPr>
  </w:style>
  <w:style w:type="paragraph" w:styleId="af4">
    <w:name w:val="Plain Text"/>
    <w:basedOn w:val="a"/>
    <w:link w:val="af5"/>
    <w:rsid w:val="0003407C"/>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03407C"/>
    <w:rPr>
      <w:rFonts w:ascii="Courier New" w:eastAsia="Times New Roman" w:hAnsi="Courier New" w:cs="Times New Roman"/>
      <w:sz w:val="20"/>
      <w:szCs w:val="20"/>
      <w:lang w:eastAsia="ru-RU"/>
    </w:rPr>
  </w:style>
  <w:style w:type="paragraph" w:customStyle="1" w:styleId="ConsPlusNormal">
    <w:name w:val="ConsPlusNormal"/>
    <w:rsid w:val="0003407C"/>
    <w:pPr>
      <w:widowControl w:val="0"/>
      <w:spacing w:after="0" w:line="240" w:lineRule="auto"/>
      <w:ind w:firstLine="720"/>
    </w:pPr>
    <w:rPr>
      <w:rFonts w:ascii="Arial" w:eastAsia="Times New Roman" w:hAnsi="Arial" w:cs="Arial"/>
      <w:sz w:val="20"/>
      <w:szCs w:val="20"/>
      <w:lang w:eastAsia="ru-RU"/>
    </w:rPr>
  </w:style>
  <w:style w:type="paragraph" w:styleId="af6">
    <w:name w:val="Revision"/>
    <w:hidden/>
    <w:uiPriority w:val="99"/>
    <w:semiHidden/>
    <w:rsid w:val="0003407C"/>
    <w:pPr>
      <w:spacing w:after="0" w:line="240" w:lineRule="auto"/>
    </w:pPr>
    <w:rPr>
      <w:rFonts w:ascii="Calibri" w:eastAsia="Calibri" w:hAnsi="Calibri" w:cs="Times New Roman"/>
      <w:lang w:val="en-US"/>
    </w:rPr>
  </w:style>
  <w:style w:type="paragraph" w:styleId="HTML">
    <w:name w:val="HTML Preformatted"/>
    <w:basedOn w:val="a"/>
    <w:link w:val="HTML0"/>
    <w:uiPriority w:val="99"/>
    <w:semiHidden/>
    <w:unhideWhenUsed/>
    <w:rsid w:val="0003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03407C"/>
    <w:rPr>
      <w:rFonts w:ascii="Courier New" w:eastAsia="Times New Roman" w:hAnsi="Courier New" w:cs="Times New Roman"/>
      <w:sz w:val="20"/>
      <w:szCs w:val="20"/>
      <w:lang w:val="x-none" w:eastAsia="x-none"/>
    </w:rPr>
  </w:style>
  <w:style w:type="paragraph" w:styleId="21">
    <w:name w:val="Body Text 2"/>
    <w:basedOn w:val="a"/>
    <w:link w:val="22"/>
    <w:uiPriority w:val="99"/>
    <w:semiHidden/>
    <w:unhideWhenUsed/>
    <w:rsid w:val="0051654E"/>
    <w:pPr>
      <w:spacing w:after="120" w:line="480" w:lineRule="auto"/>
    </w:pPr>
  </w:style>
  <w:style w:type="character" w:customStyle="1" w:styleId="22">
    <w:name w:val="Основной текст 2 Знак"/>
    <w:basedOn w:val="a0"/>
    <w:link w:val="21"/>
    <w:uiPriority w:val="99"/>
    <w:semiHidden/>
    <w:rsid w:val="0051654E"/>
  </w:style>
  <w:style w:type="paragraph" w:styleId="af7">
    <w:name w:val="List Paragraph"/>
    <w:basedOn w:val="a"/>
    <w:uiPriority w:val="34"/>
    <w:qFormat/>
    <w:rsid w:val="0096566B"/>
    <w:pPr>
      <w:ind w:left="720"/>
      <w:contextualSpacing/>
    </w:pPr>
  </w:style>
  <w:style w:type="paragraph" w:styleId="af8">
    <w:name w:val="Normal (Web)"/>
    <w:basedOn w:val="a"/>
    <w:uiPriority w:val="99"/>
    <w:semiHidden/>
    <w:unhideWhenUsed/>
    <w:rsid w:val="000B4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0B4BFA"/>
    <w:rPr>
      <w:b/>
      <w:bCs/>
    </w:rPr>
  </w:style>
  <w:style w:type="paragraph" w:customStyle="1" w:styleId="Default">
    <w:name w:val="Default"/>
    <w:rsid w:val="002422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10216</Words>
  <Characters>58236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Praveen Kanumuru</cp:lastModifiedBy>
  <cp:revision>3</cp:revision>
  <dcterms:created xsi:type="dcterms:W3CDTF">2025-01-21T10:21:00Z</dcterms:created>
  <dcterms:modified xsi:type="dcterms:W3CDTF">2025-06-10T09:09:00Z</dcterms:modified>
</cp:coreProperties>
</file>